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DF5" w:rsidRPr="008D394A" w:rsidRDefault="008D394A" w:rsidP="008D394A">
      <w:pPr>
        <w:pStyle w:val="ConsPlusTitlePage"/>
        <w:contextualSpacing/>
        <w:jc w:val="right"/>
        <w:rPr>
          <w:rFonts w:ascii="Times New Roman" w:hAnsi="Times New Roman" w:cs="Times New Roman"/>
          <w:color w:val="000000" w:themeColor="text1"/>
          <w:sz w:val="22"/>
          <w:szCs w:val="22"/>
        </w:rPr>
      </w:pPr>
      <w:r w:rsidRPr="008D394A">
        <w:rPr>
          <w:rFonts w:ascii="Times New Roman" w:hAnsi="Times New Roman" w:cs="Times New Roman"/>
          <w:color w:val="000000" w:themeColor="text1"/>
          <w:sz w:val="22"/>
          <w:szCs w:val="22"/>
        </w:rPr>
        <w:t>ПРОЕКТ</w:t>
      </w:r>
      <w:r w:rsidR="007F0DF5" w:rsidRPr="008D394A">
        <w:rPr>
          <w:rFonts w:ascii="Times New Roman" w:hAnsi="Times New Roman" w:cs="Times New Roman"/>
          <w:color w:val="000000" w:themeColor="text1"/>
          <w:sz w:val="22"/>
          <w:szCs w:val="22"/>
        </w:rPr>
        <w:br/>
      </w:r>
    </w:p>
    <w:p w:rsidR="007F0DF5" w:rsidRPr="008D394A" w:rsidRDefault="007F0DF5" w:rsidP="008D394A">
      <w:pPr>
        <w:pStyle w:val="ConsPlusNormal"/>
        <w:contextualSpacing/>
        <w:jc w:val="both"/>
        <w:outlineLvl w:val="0"/>
        <w:rPr>
          <w:rFonts w:ascii="Times New Roman" w:hAnsi="Times New Roman" w:cs="Times New Roman"/>
          <w:color w:val="000000" w:themeColor="text1"/>
          <w:szCs w:val="22"/>
        </w:rPr>
      </w:pPr>
    </w:p>
    <w:p w:rsidR="007F0DF5" w:rsidRPr="008D394A" w:rsidRDefault="007F0DF5" w:rsidP="008D394A">
      <w:pPr>
        <w:pStyle w:val="ConsPlusTitle"/>
        <w:contextualSpacing/>
        <w:jc w:val="center"/>
        <w:outlineLvl w:val="0"/>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ПРАВИТЕЛЬСТВО ХАНТЫ-МАНСИЙСКОГО АВТОНОМНОГО ОКРУГА - ЮГРЫ</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РАСПОРЯЖЕНИЕ</w:t>
      </w:r>
    </w:p>
    <w:p w:rsidR="007F0DF5" w:rsidRPr="008D394A" w:rsidRDefault="007F0DF5" w:rsidP="008D394A">
      <w:pPr>
        <w:pStyle w:val="ConsPlusTitle"/>
        <w:ind w:firstLine="540"/>
        <w:contextualSpacing/>
        <w:jc w:val="both"/>
        <w:rPr>
          <w:rFonts w:ascii="Times New Roman" w:hAnsi="Times New Roman" w:cs="Times New Roman"/>
          <w:color w:val="000000" w:themeColor="text1"/>
          <w:szCs w:val="22"/>
        </w:rPr>
      </w:pP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О БЮДЖЕТНОМ ПРОГНОЗЕ </w:t>
      </w:r>
      <w:proofErr w:type="gramStart"/>
      <w:r w:rsidRPr="008D394A">
        <w:rPr>
          <w:rFonts w:ascii="Times New Roman" w:hAnsi="Times New Roman" w:cs="Times New Roman"/>
          <w:color w:val="000000" w:themeColor="text1"/>
          <w:szCs w:val="22"/>
        </w:rPr>
        <w:t>ХАНТЫ-МАНСИЙСКОГО</w:t>
      </w:r>
      <w:proofErr w:type="gramEnd"/>
      <w:r w:rsidRPr="008D394A">
        <w:rPr>
          <w:rFonts w:ascii="Times New Roman" w:hAnsi="Times New Roman" w:cs="Times New Roman"/>
          <w:color w:val="000000" w:themeColor="text1"/>
          <w:szCs w:val="22"/>
        </w:rPr>
        <w:t xml:space="preserve"> АВТОНОМНОГО</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ОКРУГА - ЮГРЫ НА ПЕРИОД ДО 2036 ГОДА</w:t>
      </w:r>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Normal"/>
        <w:ind w:firstLine="540"/>
        <w:contextualSpacing/>
        <w:jc w:val="both"/>
        <w:rPr>
          <w:rFonts w:ascii="Times New Roman" w:hAnsi="Times New Roman" w:cs="Times New Roman"/>
          <w:color w:val="000000" w:themeColor="text1"/>
          <w:szCs w:val="22"/>
        </w:rPr>
      </w:pPr>
      <w:proofErr w:type="gramStart"/>
      <w:r w:rsidRPr="008D394A">
        <w:rPr>
          <w:rFonts w:ascii="Times New Roman" w:hAnsi="Times New Roman" w:cs="Times New Roman"/>
          <w:color w:val="000000" w:themeColor="text1"/>
          <w:szCs w:val="22"/>
        </w:rPr>
        <w:t xml:space="preserve">В соответствии со </w:t>
      </w:r>
      <w:hyperlink r:id="rId8" w:history="1">
        <w:r w:rsidRPr="008D394A">
          <w:rPr>
            <w:rFonts w:ascii="Times New Roman" w:hAnsi="Times New Roman" w:cs="Times New Roman"/>
            <w:color w:val="000000" w:themeColor="text1"/>
            <w:szCs w:val="22"/>
          </w:rPr>
          <w:t>статьей 170.1</w:t>
        </w:r>
      </w:hyperlink>
      <w:r w:rsidRPr="008D394A">
        <w:rPr>
          <w:rFonts w:ascii="Times New Roman" w:hAnsi="Times New Roman" w:cs="Times New Roman"/>
          <w:color w:val="000000" w:themeColor="text1"/>
          <w:szCs w:val="22"/>
        </w:rPr>
        <w:t xml:space="preserve"> Бюджетного кодекса Российской Федерации, </w:t>
      </w:r>
      <w:hyperlink r:id="rId9" w:history="1">
        <w:r w:rsidRPr="008D394A">
          <w:rPr>
            <w:rFonts w:ascii="Times New Roman" w:hAnsi="Times New Roman" w:cs="Times New Roman"/>
            <w:color w:val="000000" w:themeColor="text1"/>
            <w:szCs w:val="22"/>
          </w:rPr>
          <w:t>постановлением</w:t>
        </w:r>
      </w:hyperlink>
      <w:r w:rsidRPr="008D394A">
        <w:rPr>
          <w:rFonts w:ascii="Times New Roman" w:hAnsi="Times New Roman" w:cs="Times New Roman"/>
          <w:color w:val="000000" w:themeColor="text1"/>
          <w:szCs w:val="22"/>
        </w:rPr>
        <w:t xml:space="preserve"> Правительства Ханты-Мансийского автономного округа - Югры от 31 июля 2015 года N 247-п "О порядке разработки бюджетного прогноза Ханты-Мансийского автономного округа - Югры на долгосрочный период", учитывая решение Общественного совета при Департаменте финансов Ханты-Мансийского автономного округа - Югры (протокол заседания от 24 января 2019 года N 1):</w:t>
      </w:r>
      <w:proofErr w:type="gramEnd"/>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1. Утвердить прилагаемый бюджетный </w:t>
      </w:r>
      <w:hyperlink w:anchor="P28" w:history="1">
        <w:r w:rsidRPr="008D394A">
          <w:rPr>
            <w:rFonts w:ascii="Times New Roman" w:hAnsi="Times New Roman" w:cs="Times New Roman"/>
            <w:color w:val="000000" w:themeColor="text1"/>
            <w:szCs w:val="22"/>
          </w:rPr>
          <w:t>прогноз</w:t>
        </w:r>
      </w:hyperlink>
      <w:r w:rsidRPr="008D394A">
        <w:rPr>
          <w:rFonts w:ascii="Times New Roman" w:hAnsi="Times New Roman" w:cs="Times New Roman"/>
          <w:color w:val="000000" w:themeColor="text1"/>
          <w:szCs w:val="22"/>
        </w:rPr>
        <w:t xml:space="preserve"> Ханты-Мансийского автономного округа - Югры на период до 2036 года.</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2. </w:t>
      </w:r>
      <w:proofErr w:type="gramStart"/>
      <w:r w:rsidRPr="008D394A">
        <w:rPr>
          <w:rFonts w:ascii="Times New Roman" w:hAnsi="Times New Roman" w:cs="Times New Roman"/>
          <w:color w:val="000000" w:themeColor="text1"/>
          <w:szCs w:val="22"/>
        </w:rPr>
        <w:t xml:space="preserve">Департаменту финансов Ханты-Мансийского автономного округа - Югры, исполнительным органам государственной власти Ханты-Мансийского автономного округа - Югры при составлении проекта закона о бюджете Ханты-Мансийского автономного округа - Югры на очередной финансовый год и плановый период, разработке проектов государственных программ Ханты-Мансийского автономного округа - Югры руководствоваться бюджетным </w:t>
      </w:r>
      <w:hyperlink w:anchor="P28" w:history="1">
        <w:r w:rsidRPr="008D394A">
          <w:rPr>
            <w:rFonts w:ascii="Times New Roman" w:hAnsi="Times New Roman" w:cs="Times New Roman"/>
            <w:color w:val="000000" w:themeColor="text1"/>
            <w:szCs w:val="22"/>
          </w:rPr>
          <w:t>прогнозом</w:t>
        </w:r>
      </w:hyperlink>
      <w:r w:rsidRPr="008D394A">
        <w:rPr>
          <w:rFonts w:ascii="Times New Roman" w:hAnsi="Times New Roman" w:cs="Times New Roman"/>
          <w:color w:val="000000" w:themeColor="text1"/>
          <w:szCs w:val="22"/>
        </w:rPr>
        <w:t xml:space="preserve"> Ханты-Мансийского автономного округа - Югры на период до 2036 года.</w:t>
      </w:r>
      <w:proofErr w:type="gramEnd"/>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Normal"/>
        <w:contextualSpacing/>
        <w:jc w:val="both"/>
        <w:rPr>
          <w:rFonts w:ascii="Times New Roman" w:hAnsi="Times New Roman" w:cs="Times New Roman"/>
          <w:color w:val="000000" w:themeColor="text1"/>
          <w:szCs w:val="22"/>
        </w:rPr>
      </w:pPr>
      <w:bookmarkStart w:id="0" w:name="_GoBack"/>
      <w:bookmarkEnd w:id="0"/>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Normal"/>
        <w:contextualSpacing/>
        <w:jc w:val="right"/>
        <w:outlineLvl w:val="0"/>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Приложение</w:t>
      </w:r>
    </w:p>
    <w:p w:rsidR="007F0DF5" w:rsidRPr="008D394A" w:rsidRDefault="007F0DF5" w:rsidP="008D394A">
      <w:pPr>
        <w:pStyle w:val="ConsPlusNormal"/>
        <w:contextualSpacing/>
        <w:jc w:val="right"/>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к распоряжению</w:t>
      </w:r>
    </w:p>
    <w:p w:rsidR="007F0DF5" w:rsidRPr="008D394A" w:rsidRDefault="007F0DF5" w:rsidP="008D394A">
      <w:pPr>
        <w:pStyle w:val="ConsPlusNormal"/>
        <w:contextualSpacing/>
        <w:jc w:val="right"/>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Правительства Ханты-Мансийского</w:t>
      </w:r>
    </w:p>
    <w:p w:rsidR="007F0DF5" w:rsidRPr="008D394A" w:rsidRDefault="007F0DF5" w:rsidP="008D394A">
      <w:pPr>
        <w:pStyle w:val="ConsPlusNormal"/>
        <w:contextualSpacing/>
        <w:jc w:val="right"/>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автономного округа - Югры</w:t>
      </w:r>
    </w:p>
    <w:p w:rsidR="007F0DF5" w:rsidRPr="008D394A" w:rsidRDefault="007F0DF5" w:rsidP="008D394A">
      <w:pPr>
        <w:pStyle w:val="ConsPlusNormal"/>
        <w:contextualSpacing/>
        <w:jc w:val="right"/>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от </w:t>
      </w:r>
      <w:r w:rsidR="009932A8">
        <w:rPr>
          <w:rFonts w:ascii="Times New Roman" w:hAnsi="Times New Roman" w:cs="Times New Roman"/>
          <w:color w:val="000000" w:themeColor="text1"/>
          <w:szCs w:val="22"/>
        </w:rPr>
        <w:t>_______</w:t>
      </w:r>
      <w:r w:rsidRPr="008D394A">
        <w:rPr>
          <w:rFonts w:ascii="Times New Roman" w:hAnsi="Times New Roman" w:cs="Times New Roman"/>
          <w:color w:val="000000" w:themeColor="text1"/>
          <w:szCs w:val="22"/>
        </w:rPr>
        <w:t xml:space="preserve">2019 года N </w:t>
      </w:r>
      <w:r w:rsidR="009932A8">
        <w:rPr>
          <w:rFonts w:ascii="Times New Roman" w:hAnsi="Times New Roman" w:cs="Times New Roman"/>
          <w:color w:val="000000" w:themeColor="text1"/>
          <w:szCs w:val="22"/>
        </w:rPr>
        <w:t xml:space="preserve">  </w:t>
      </w:r>
      <w:r w:rsidRPr="008D394A">
        <w:rPr>
          <w:rFonts w:ascii="Times New Roman" w:hAnsi="Times New Roman" w:cs="Times New Roman"/>
          <w:color w:val="000000" w:themeColor="text1"/>
          <w:szCs w:val="22"/>
        </w:rPr>
        <w:t>-</w:t>
      </w:r>
      <w:proofErr w:type="spellStart"/>
      <w:r w:rsidRPr="008D394A">
        <w:rPr>
          <w:rFonts w:ascii="Times New Roman" w:hAnsi="Times New Roman" w:cs="Times New Roman"/>
          <w:color w:val="000000" w:themeColor="text1"/>
          <w:szCs w:val="22"/>
        </w:rPr>
        <w:t>рп</w:t>
      </w:r>
      <w:proofErr w:type="spellEnd"/>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Title"/>
        <w:contextualSpacing/>
        <w:jc w:val="center"/>
        <w:rPr>
          <w:rFonts w:ascii="Times New Roman" w:hAnsi="Times New Roman" w:cs="Times New Roman"/>
          <w:color w:val="000000" w:themeColor="text1"/>
          <w:szCs w:val="22"/>
        </w:rPr>
      </w:pPr>
      <w:bookmarkStart w:id="1" w:name="P28"/>
      <w:bookmarkEnd w:id="1"/>
      <w:r w:rsidRPr="008D394A">
        <w:rPr>
          <w:rFonts w:ascii="Times New Roman" w:hAnsi="Times New Roman" w:cs="Times New Roman"/>
          <w:color w:val="000000" w:themeColor="text1"/>
          <w:szCs w:val="22"/>
        </w:rPr>
        <w:t>БЮДЖЕТНЫЙ ПРОГНОЗ</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ХАНТЫ-МАНСИЙСКОГО АВТОНОМНОГО ОКРУГА - ЮГРЫ НА ПЕРИОД</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ДО 2036 ГОДА</w:t>
      </w:r>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Normal"/>
        <w:ind w:firstLine="540"/>
        <w:contextualSpacing/>
        <w:jc w:val="both"/>
        <w:rPr>
          <w:rFonts w:ascii="Times New Roman" w:hAnsi="Times New Roman" w:cs="Times New Roman"/>
          <w:color w:val="000000" w:themeColor="text1"/>
          <w:szCs w:val="22"/>
        </w:rPr>
      </w:pPr>
      <w:proofErr w:type="gramStart"/>
      <w:r w:rsidRPr="008D394A">
        <w:rPr>
          <w:rFonts w:ascii="Times New Roman" w:hAnsi="Times New Roman" w:cs="Times New Roman"/>
          <w:color w:val="000000" w:themeColor="text1"/>
          <w:szCs w:val="22"/>
        </w:rPr>
        <w:t xml:space="preserve">Бюджетный прогноз Ханты-Мансийского автономного округа - Югры на период до 2036 года (далее также - автономный округ, Бюджетный прогноз) разработан в соответствии со </w:t>
      </w:r>
      <w:hyperlink r:id="rId10" w:history="1">
        <w:r w:rsidRPr="008D394A">
          <w:rPr>
            <w:rFonts w:ascii="Times New Roman" w:hAnsi="Times New Roman" w:cs="Times New Roman"/>
            <w:color w:val="000000" w:themeColor="text1"/>
            <w:szCs w:val="22"/>
          </w:rPr>
          <w:t>статьей 170.1</w:t>
        </w:r>
      </w:hyperlink>
      <w:r w:rsidRPr="008D394A">
        <w:rPr>
          <w:rFonts w:ascii="Times New Roman" w:hAnsi="Times New Roman" w:cs="Times New Roman"/>
          <w:color w:val="000000" w:themeColor="text1"/>
          <w:szCs w:val="22"/>
        </w:rPr>
        <w:t xml:space="preserve"> Бюджетного кодекса Российской Федерации, Федеральным </w:t>
      </w:r>
      <w:hyperlink r:id="rId11" w:history="1">
        <w:r w:rsidRPr="008D394A">
          <w:rPr>
            <w:rFonts w:ascii="Times New Roman" w:hAnsi="Times New Roman" w:cs="Times New Roman"/>
            <w:color w:val="000000" w:themeColor="text1"/>
            <w:szCs w:val="22"/>
          </w:rPr>
          <w:t>законом</w:t>
        </w:r>
      </w:hyperlink>
      <w:r w:rsidRPr="008D394A">
        <w:rPr>
          <w:rFonts w:ascii="Times New Roman" w:hAnsi="Times New Roman" w:cs="Times New Roman"/>
          <w:color w:val="000000" w:themeColor="text1"/>
          <w:szCs w:val="22"/>
        </w:rPr>
        <w:t xml:space="preserve"> от 28 июня 2014 года N 172-ФЗ "О стратегическом планировании в Российской Федерации" и </w:t>
      </w:r>
      <w:hyperlink r:id="rId12" w:history="1">
        <w:r w:rsidRPr="008D394A">
          <w:rPr>
            <w:rFonts w:ascii="Times New Roman" w:hAnsi="Times New Roman" w:cs="Times New Roman"/>
            <w:color w:val="000000" w:themeColor="text1"/>
            <w:szCs w:val="22"/>
          </w:rPr>
          <w:t>постановлением</w:t>
        </w:r>
      </w:hyperlink>
      <w:r w:rsidRPr="008D394A">
        <w:rPr>
          <w:rFonts w:ascii="Times New Roman" w:hAnsi="Times New Roman" w:cs="Times New Roman"/>
          <w:color w:val="000000" w:themeColor="text1"/>
          <w:szCs w:val="22"/>
        </w:rPr>
        <w:t xml:space="preserve"> Правительства Ханты-Мансийского автономного округа - Югры от 31 июля 2015 года N 247-п "О порядке разработки бюджетного</w:t>
      </w:r>
      <w:proofErr w:type="gramEnd"/>
      <w:r w:rsidRPr="008D394A">
        <w:rPr>
          <w:rFonts w:ascii="Times New Roman" w:hAnsi="Times New Roman" w:cs="Times New Roman"/>
          <w:color w:val="000000" w:themeColor="text1"/>
          <w:szCs w:val="22"/>
        </w:rPr>
        <w:t xml:space="preserve"> прогноза Ханты-Мансийского автономного округа - Югры на долгосрочный период".</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В условиях программно-целевого метода формирования и исполнения бюджета автономного округа целью долгосрочного бюджетного планирования является обеспечение предсказуемости развития бюджетов бюджетной системы автономного округа для проведения ответственной налоговой, бюджетной и долговой политики автономного округа, межбюджетного регулирования, повышения эффективности управления государственными финансами автономного округа.</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proofErr w:type="gramStart"/>
      <w:r w:rsidRPr="008D394A">
        <w:rPr>
          <w:rFonts w:ascii="Times New Roman" w:hAnsi="Times New Roman" w:cs="Times New Roman"/>
          <w:color w:val="000000" w:themeColor="text1"/>
          <w:szCs w:val="22"/>
        </w:rPr>
        <w:t>Наличие долгосрочных оценок ключевых показателей бюджета автономного округа создает условия для принятия обоснованных решений при формировании проекта бюджета на очередной финансовый год и на плановый период, позволяет учитывать их последствия с точки зрения влияния на сбалансированность бюджетов будущих периодов, заблаговременно оценивать и предотвращать бюджетные риски.</w:t>
      </w:r>
      <w:proofErr w:type="gramEnd"/>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proofErr w:type="gramStart"/>
      <w:r w:rsidRPr="008D394A">
        <w:rPr>
          <w:rFonts w:ascii="Times New Roman" w:hAnsi="Times New Roman" w:cs="Times New Roman"/>
          <w:color w:val="000000" w:themeColor="text1"/>
          <w:szCs w:val="22"/>
        </w:rPr>
        <w:lastRenderedPageBreak/>
        <w:t xml:space="preserve">При разработке Бюджетного прогноза учтены положения </w:t>
      </w:r>
      <w:hyperlink r:id="rId13" w:history="1">
        <w:r w:rsidRPr="008D394A">
          <w:rPr>
            <w:rFonts w:ascii="Times New Roman" w:hAnsi="Times New Roman" w:cs="Times New Roman"/>
            <w:color w:val="000000" w:themeColor="text1"/>
            <w:szCs w:val="22"/>
          </w:rPr>
          <w:t>Послания</w:t>
        </w:r>
      </w:hyperlink>
      <w:r w:rsidRPr="008D394A">
        <w:rPr>
          <w:rFonts w:ascii="Times New Roman" w:hAnsi="Times New Roman" w:cs="Times New Roman"/>
          <w:color w:val="000000" w:themeColor="text1"/>
          <w:szCs w:val="22"/>
        </w:rPr>
        <w:t xml:space="preserve"> Президента Российской Федерации Федеральному Собранию Российской Федерации от 1 марта 2018 года, указов Президента Российской Федерации от 2012 года, </w:t>
      </w:r>
      <w:hyperlink r:id="rId14" w:history="1">
        <w:r w:rsidRPr="008D394A">
          <w:rPr>
            <w:rFonts w:ascii="Times New Roman" w:hAnsi="Times New Roman" w:cs="Times New Roman"/>
            <w:color w:val="000000" w:themeColor="text1"/>
            <w:szCs w:val="22"/>
          </w:rPr>
          <w:t>Указа</w:t>
        </w:r>
      </w:hyperlink>
      <w:r w:rsidRPr="008D394A">
        <w:rPr>
          <w:rFonts w:ascii="Times New Roman" w:hAnsi="Times New Roman" w:cs="Times New Roman"/>
          <w:color w:val="000000" w:themeColor="text1"/>
          <w:szCs w:val="22"/>
        </w:rPr>
        <w:t xml:space="preserve"> Президента Российской Федерации от 7 мая 2018 года N 204 "О национальных целях и стратегических задачах развития Российской Федерации на период до 2024 года" (далее также - Указ N 204), </w:t>
      </w:r>
      <w:hyperlink r:id="rId15" w:history="1">
        <w:r w:rsidRPr="008D394A">
          <w:rPr>
            <w:rFonts w:ascii="Times New Roman" w:hAnsi="Times New Roman" w:cs="Times New Roman"/>
            <w:color w:val="000000" w:themeColor="text1"/>
            <w:szCs w:val="22"/>
          </w:rPr>
          <w:t>Стратегии</w:t>
        </w:r>
      </w:hyperlink>
      <w:r w:rsidRPr="008D394A">
        <w:rPr>
          <w:rFonts w:ascii="Times New Roman" w:hAnsi="Times New Roman" w:cs="Times New Roman"/>
          <w:color w:val="000000" w:themeColor="text1"/>
          <w:szCs w:val="22"/>
        </w:rPr>
        <w:t xml:space="preserve"> национальной безопасности Российской</w:t>
      </w:r>
      <w:proofErr w:type="gramEnd"/>
      <w:r w:rsidRPr="008D394A">
        <w:rPr>
          <w:rFonts w:ascii="Times New Roman" w:hAnsi="Times New Roman" w:cs="Times New Roman"/>
          <w:color w:val="000000" w:themeColor="text1"/>
          <w:szCs w:val="22"/>
        </w:rPr>
        <w:t xml:space="preserve"> </w:t>
      </w:r>
      <w:proofErr w:type="gramStart"/>
      <w:r w:rsidRPr="008D394A">
        <w:rPr>
          <w:rFonts w:ascii="Times New Roman" w:hAnsi="Times New Roman" w:cs="Times New Roman"/>
          <w:color w:val="000000" w:themeColor="text1"/>
          <w:szCs w:val="22"/>
        </w:rPr>
        <w:t xml:space="preserve">Федерации, </w:t>
      </w:r>
      <w:hyperlink r:id="rId16" w:history="1">
        <w:r w:rsidRPr="008D394A">
          <w:rPr>
            <w:rFonts w:ascii="Times New Roman" w:hAnsi="Times New Roman" w:cs="Times New Roman"/>
            <w:color w:val="000000" w:themeColor="text1"/>
            <w:szCs w:val="22"/>
          </w:rPr>
          <w:t>Стратегии</w:t>
        </w:r>
      </w:hyperlink>
      <w:r w:rsidRPr="008D394A">
        <w:rPr>
          <w:rFonts w:ascii="Times New Roman" w:hAnsi="Times New Roman" w:cs="Times New Roman"/>
          <w:color w:val="000000" w:themeColor="text1"/>
          <w:szCs w:val="22"/>
        </w:rPr>
        <w:t xml:space="preserve"> экономической безопасности Российской Федерации на период до 2030 года, Основ государственной политики регионального развития Российской Федерации на период до 2025 года, основных </w:t>
      </w:r>
      <w:hyperlink r:id="rId17" w:history="1">
        <w:r w:rsidRPr="008D394A">
          <w:rPr>
            <w:rFonts w:ascii="Times New Roman" w:hAnsi="Times New Roman" w:cs="Times New Roman"/>
            <w:color w:val="000000" w:themeColor="text1"/>
            <w:szCs w:val="22"/>
          </w:rPr>
          <w:t>направлений</w:t>
        </w:r>
      </w:hyperlink>
      <w:r w:rsidRPr="008D394A">
        <w:rPr>
          <w:rFonts w:ascii="Times New Roman" w:hAnsi="Times New Roman" w:cs="Times New Roman"/>
          <w:color w:val="000000" w:themeColor="text1"/>
          <w:szCs w:val="22"/>
        </w:rPr>
        <w:t xml:space="preserve"> деятельности Правительства Российской Федерации на период до 2024 года, утвержденных Председателем Правительства Российской Федерации </w:t>
      </w:r>
      <w:proofErr w:type="spellStart"/>
      <w:r w:rsidRPr="008D394A">
        <w:rPr>
          <w:rFonts w:ascii="Times New Roman" w:hAnsi="Times New Roman" w:cs="Times New Roman"/>
          <w:color w:val="000000" w:themeColor="text1"/>
          <w:szCs w:val="22"/>
        </w:rPr>
        <w:t>Д.А</w:t>
      </w:r>
      <w:proofErr w:type="spellEnd"/>
      <w:r w:rsidRPr="008D394A">
        <w:rPr>
          <w:rFonts w:ascii="Times New Roman" w:hAnsi="Times New Roman" w:cs="Times New Roman"/>
          <w:color w:val="000000" w:themeColor="text1"/>
          <w:szCs w:val="22"/>
        </w:rPr>
        <w:t xml:space="preserve">. Медведевым 29 сентября 2018 года, </w:t>
      </w:r>
      <w:hyperlink r:id="rId18" w:history="1">
        <w:r w:rsidRPr="008D394A">
          <w:rPr>
            <w:rFonts w:ascii="Times New Roman" w:hAnsi="Times New Roman" w:cs="Times New Roman"/>
            <w:color w:val="000000" w:themeColor="text1"/>
            <w:szCs w:val="22"/>
          </w:rPr>
          <w:t>прогноза</w:t>
        </w:r>
      </w:hyperlink>
      <w:r w:rsidRPr="008D394A">
        <w:rPr>
          <w:rFonts w:ascii="Times New Roman" w:hAnsi="Times New Roman" w:cs="Times New Roman"/>
          <w:color w:val="000000" w:themeColor="text1"/>
          <w:szCs w:val="22"/>
        </w:rPr>
        <w:t xml:space="preserve"> социально-экономического развития Российской Федерации на период до 2036 года, </w:t>
      </w:r>
      <w:hyperlink r:id="rId19" w:history="1">
        <w:r w:rsidRPr="008D394A">
          <w:rPr>
            <w:rFonts w:ascii="Times New Roman" w:hAnsi="Times New Roman" w:cs="Times New Roman"/>
            <w:color w:val="000000" w:themeColor="text1"/>
            <w:szCs w:val="22"/>
          </w:rPr>
          <w:t>Стратегии</w:t>
        </w:r>
      </w:hyperlink>
      <w:r w:rsidRPr="008D394A">
        <w:rPr>
          <w:rFonts w:ascii="Times New Roman" w:hAnsi="Times New Roman" w:cs="Times New Roman"/>
          <w:color w:val="000000" w:themeColor="text1"/>
          <w:szCs w:val="22"/>
        </w:rPr>
        <w:t xml:space="preserve"> социально-экономического развития автономного</w:t>
      </w:r>
      <w:proofErr w:type="gramEnd"/>
      <w:r w:rsidRPr="008D394A">
        <w:rPr>
          <w:rFonts w:ascii="Times New Roman" w:hAnsi="Times New Roman" w:cs="Times New Roman"/>
          <w:color w:val="000000" w:themeColor="text1"/>
          <w:szCs w:val="22"/>
        </w:rPr>
        <w:t xml:space="preserve"> округа до 2030 года, государственных программ автономного округа, основных </w:t>
      </w:r>
      <w:hyperlink r:id="rId20" w:history="1">
        <w:r w:rsidRPr="008D394A">
          <w:rPr>
            <w:rFonts w:ascii="Times New Roman" w:hAnsi="Times New Roman" w:cs="Times New Roman"/>
            <w:color w:val="000000" w:themeColor="text1"/>
            <w:szCs w:val="22"/>
          </w:rPr>
          <w:t>направлений</w:t>
        </w:r>
      </w:hyperlink>
      <w:r w:rsidRPr="008D394A">
        <w:rPr>
          <w:rFonts w:ascii="Times New Roman" w:hAnsi="Times New Roman" w:cs="Times New Roman"/>
          <w:color w:val="000000" w:themeColor="text1"/>
          <w:szCs w:val="22"/>
        </w:rPr>
        <w:t xml:space="preserve"> налоговой, бюджетной и долговой политики автономного округа на 2019 год и на плановый период 2020 и 2021 годов.</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Бюджетный прогноз разработан на основе прогноза социально-экономического развития автономного округа на период до 2036 года (далее также - Долгосрочный прогноз).</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Отталкиваясь от экономической ситуации и необходимости реализации ключевых целей, обозначенных Президентом Российской Федерации, Бюджетный прогноз:</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обеспечивает открытость и предсказуемость параметров бюджета автономного округа, а также базовых принципов и условий реализации налоговой, бюджетной и долговой политики автономного округа;</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обеспечивает полноту учета и прогнозирования финансовых и нефинансовых ресурсов (активов), обязательств и регулятивных инструментов, используемых для достижения целей и результатов </w:t>
      </w:r>
      <w:proofErr w:type="gramStart"/>
      <w:r w:rsidRPr="008D394A">
        <w:rPr>
          <w:rFonts w:ascii="Times New Roman" w:hAnsi="Times New Roman" w:cs="Times New Roman"/>
          <w:color w:val="000000" w:themeColor="text1"/>
          <w:szCs w:val="22"/>
        </w:rPr>
        <w:t>бюджетной</w:t>
      </w:r>
      <w:proofErr w:type="gramEnd"/>
      <w:r w:rsidRPr="008D394A">
        <w:rPr>
          <w:rFonts w:ascii="Times New Roman" w:hAnsi="Times New Roman" w:cs="Times New Roman"/>
          <w:color w:val="000000" w:themeColor="text1"/>
          <w:szCs w:val="22"/>
        </w:rPr>
        <w:t xml:space="preserve"> политики автономного округа;</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дает оценку возможных рисков прогнозов, положенных в основу долгосрочной бюджетной политики, а также влияет на соблюдение мер, направленных на повышение устойчивости функционирования бюджетной системы автономного округа;</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proofErr w:type="gramStart"/>
      <w:r w:rsidRPr="008D394A">
        <w:rPr>
          <w:rFonts w:ascii="Times New Roman" w:hAnsi="Times New Roman" w:cs="Times New Roman"/>
          <w:color w:val="000000" w:themeColor="text1"/>
          <w:szCs w:val="22"/>
        </w:rPr>
        <w:t>рассчитан</w:t>
      </w:r>
      <w:proofErr w:type="gramEnd"/>
      <w:r w:rsidRPr="008D394A">
        <w:rPr>
          <w:rFonts w:ascii="Times New Roman" w:hAnsi="Times New Roman" w:cs="Times New Roman"/>
          <w:color w:val="000000" w:themeColor="text1"/>
          <w:szCs w:val="22"/>
        </w:rPr>
        <w:t xml:space="preserve"> с учетом размера государственного долга автономного округа и муниципального долга на экономически безопасном уровне (уровне, позволяющем обеспечивать привлечение заемных средств на условиях реальной возможности обслуживания и погашения принятых и принимаемых обязательств);</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учитывает снижение зависимости бюджета от волатильности рынка углеводородов за счет диверсификации экономики автономного округа.</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В целях </w:t>
      </w:r>
      <w:proofErr w:type="gramStart"/>
      <w:r w:rsidRPr="008D394A">
        <w:rPr>
          <w:rFonts w:ascii="Times New Roman" w:hAnsi="Times New Roman" w:cs="Times New Roman"/>
          <w:color w:val="000000" w:themeColor="text1"/>
          <w:szCs w:val="22"/>
        </w:rPr>
        <w:t>обеспечения точности оценок параметров бюджетной системы</w:t>
      </w:r>
      <w:proofErr w:type="gramEnd"/>
      <w:r w:rsidRPr="008D394A">
        <w:rPr>
          <w:rFonts w:ascii="Times New Roman" w:hAnsi="Times New Roman" w:cs="Times New Roman"/>
          <w:color w:val="000000" w:themeColor="text1"/>
          <w:szCs w:val="22"/>
        </w:rPr>
        <w:t xml:space="preserve"> автономного округа, эффективности и результативности применяемых подходов и решений Бюджетный прогноз необходимо регулярно актуализировать, в том числе при изменении социально-экономической ситуации, оценок рисков для бюджетной системы.</w:t>
      </w:r>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Title"/>
        <w:contextualSpacing/>
        <w:jc w:val="center"/>
        <w:outlineLvl w:val="1"/>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 Основные итоги реализации бюджетной политики автономного</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округа, условия формирования Бюджетного прогноза в </w:t>
      </w:r>
      <w:proofErr w:type="gramStart"/>
      <w:r w:rsidRPr="008D394A">
        <w:rPr>
          <w:rFonts w:ascii="Times New Roman" w:hAnsi="Times New Roman" w:cs="Times New Roman"/>
          <w:color w:val="000000" w:themeColor="text1"/>
          <w:szCs w:val="22"/>
        </w:rPr>
        <w:t>текущем</w:t>
      </w:r>
      <w:proofErr w:type="gramEnd"/>
    </w:p>
    <w:p w:rsidR="007F0DF5" w:rsidRPr="008D394A" w:rsidRDefault="007F0DF5" w:rsidP="008D394A">
      <w:pPr>
        <w:pStyle w:val="ConsPlusTitle"/>
        <w:contextualSpacing/>
        <w:jc w:val="center"/>
        <w:rPr>
          <w:rFonts w:ascii="Times New Roman" w:hAnsi="Times New Roman" w:cs="Times New Roman"/>
          <w:color w:val="000000" w:themeColor="text1"/>
          <w:szCs w:val="22"/>
        </w:rPr>
      </w:pPr>
      <w:proofErr w:type="gramStart"/>
      <w:r w:rsidRPr="008D394A">
        <w:rPr>
          <w:rFonts w:ascii="Times New Roman" w:hAnsi="Times New Roman" w:cs="Times New Roman"/>
          <w:color w:val="000000" w:themeColor="text1"/>
          <w:szCs w:val="22"/>
        </w:rPr>
        <w:t>периоде</w:t>
      </w:r>
      <w:proofErr w:type="gramEnd"/>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Normal"/>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Бюджетная политика автономного округа на протяжении последнего десятилетия отличается гибкостью, вариативностью применяемых инструментов при неизменности основных целей развития автономного округа.</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Высокая зависимость доходной части бюджета автономного округа от конъюнктуры рынка углеводородов, с одной стороны, обеспечивает достаточный уровень доходов бюджета автономного округа, с другой стороны - требует эффективности системы </w:t>
      </w:r>
      <w:proofErr w:type="gramStart"/>
      <w:r w:rsidRPr="008D394A">
        <w:rPr>
          <w:rFonts w:ascii="Times New Roman" w:hAnsi="Times New Roman" w:cs="Times New Roman"/>
          <w:color w:val="000000" w:themeColor="text1"/>
          <w:szCs w:val="22"/>
        </w:rPr>
        <w:t>риск-менеджмента</w:t>
      </w:r>
      <w:proofErr w:type="gramEnd"/>
      <w:r w:rsidRPr="008D394A">
        <w:rPr>
          <w:rFonts w:ascii="Times New Roman" w:hAnsi="Times New Roman" w:cs="Times New Roman"/>
          <w:color w:val="000000" w:themeColor="text1"/>
          <w:szCs w:val="22"/>
        </w:rPr>
        <w:t xml:space="preserve"> государственных финансов. Текущий период в российской экономике отличается склонностью к быстрым изменениям, что влечет за собой неопределенность в прогнозах на долгосрочный период времени и необходимость корректировки его основных параметров. Анализ основных параметров бюджетной системы автономного округа за последнее десятилетие, включая экономические кризисы 2008 - 2009, 2014 - 2015 годов, позволяет говорить об эффективности государственной политики автономного округа в сфере управления государственными финансами. Благодаря внедрению программно-целевых методов управления, применению умеренно консервативных оценок доходной базы, проведению взвешенной долговой политики Югра относится к субъектам Российской Федерации с высокой долговой устойчивостью. Ханты-Мансийский автономный </w:t>
      </w:r>
      <w:r w:rsidRPr="008D394A">
        <w:rPr>
          <w:rFonts w:ascii="Times New Roman" w:hAnsi="Times New Roman" w:cs="Times New Roman"/>
          <w:color w:val="000000" w:themeColor="text1"/>
          <w:szCs w:val="22"/>
        </w:rPr>
        <w:lastRenderedPageBreak/>
        <w:t>округ - Югра входит в десятку субъектов Российской Федерации с наименьшим уровнем долговой нагрузки.</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Реализуемая в автономном округе налоговая политика направлена на наращивание налогового потенциала региона за счет формирования благоприятного инвестиционного климата, совершенствования порядка предоставления льгот, повышения качества администрирования доходов.</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Одним из приоритетных направлений государственной налоговой политики является стимулирование развития предпринимательской деятельности путем создания таких условий, которые благоприятны для ведения финансово-хозяйственной деятельности экономических субъектов. В целях сохранения положительной динамики развития малого предпринимательства продлено действие пониженных ставок для субъектов малого бизнеса, применяющих упрощенную систему налогообложения.</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Начата работа по пересмотру системы льготного налогообложения, которая предварительно осуществляется по двум направлениям: установление дополнительного условия - рост налоговой базы для применения пониженной ставки по налогу на прибыль организаций и установление ограничения по количеству применяемых льгот по налогу на имущество организаций. В дальнейшем решения о предоставлении налоговых льгот и продлении их действия будут зависеть от достижения национальных целей развития, с обязательным учетом критериев оценки налоговых расходов, включая востребованность льготы, ее соответствие целям государственных программ или иным целям социально-экономической политики автономного округа, а также ее бюджетную эффективность.</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В настоящее время в автономном округе в полном объеме реализуются полномочия, предоставленные федеральным законодательством в области налоговой политики, что подтверждается оценками консалтинговой компании </w:t>
      </w:r>
      <w:proofErr w:type="spellStart"/>
      <w:r w:rsidRPr="008D394A">
        <w:rPr>
          <w:rFonts w:ascii="Times New Roman" w:hAnsi="Times New Roman" w:cs="Times New Roman"/>
          <w:color w:val="000000" w:themeColor="text1"/>
          <w:szCs w:val="22"/>
        </w:rPr>
        <w:t>Р</w:t>
      </w:r>
      <w:proofErr w:type="gramStart"/>
      <w:r w:rsidRPr="008D394A">
        <w:rPr>
          <w:rFonts w:ascii="Times New Roman" w:hAnsi="Times New Roman" w:cs="Times New Roman"/>
          <w:color w:val="000000" w:themeColor="text1"/>
          <w:szCs w:val="22"/>
        </w:rPr>
        <w:t>w</w:t>
      </w:r>
      <w:proofErr w:type="gramEnd"/>
      <w:r w:rsidRPr="008D394A">
        <w:rPr>
          <w:rFonts w:ascii="Times New Roman" w:hAnsi="Times New Roman" w:cs="Times New Roman"/>
          <w:color w:val="000000" w:themeColor="text1"/>
          <w:szCs w:val="22"/>
        </w:rPr>
        <w:t>С</w:t>
      </w:r>
      <w:proofErr w:type="spellEnd"/>
      <w:r w:rsidRPr="008D394A">
        <w:rPr>
          <w:rFonts w:ascii="Times New Roman" w:hAnsi="Times New Roman" w:cs="Times New Roman"/>
          <w:color w:val="000000" w:themeColor="text1"/>
          <w:szCs w:val="22"/>
        </w:rPr>
        <w:t>, по результатам которых третий год подряд автономный округ входит в тройку субъектов-лидеров &lt;1&gt;.</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&lt;1&gt; https://www.pwc.ru/ru</w:t>
      </w:r>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Normal"/>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Ключевым условием обеспечения эффективной бюджетной политики и достижения национальных целей развития является реализация мер по повышению обоснованности и эффективности управления бюджетными расходами.</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Бюджет автономного округа на 2019 - 2021 годы сформирован на основе государственных программ, которые </w:t>
      </w:r>
      <w:proofErr w:type="gramStart"/>
      <w:r w:rsidRPr="008D394A">
        <w:rPr>
          <w:rFonts w:ascii="Times New Roman" w:hAnsi="Times New Roman" w:cs="Times New Roman"/>
          <w:color w:val="000000" w:themeColor="text1"/>
          <w:szCs w:val="22"/>
        </w:rPr>
        <w:t>утверждены в новой структуре и включают</w:t>
      </w:r>
      <w:proofErr w:type="gramEnd"/>
      <w:r w:rsidRPr="008D394A">
        <w:rPr>
          <w:rFonts w:ascii="Times New Roman" w:hAnsi="Times New Roman" w:cs="Times New Roman"/>
          <w:color w:val="000000" w:themeColor="text1"/>
          <w:szCs w:val="22"/>
        </w:rPr>
        <w:t xml:space="preserve"> мероприятия, направленные на реализацию национальных проектов на принципах проектного управления.</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Сохранен социальный аспект расходов бюджета, их удельный вес в программных расходах составляет свыше 70%. В бюджете обеспечено выполнение всех социальных обязательств перед гражданами Югры.</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В целях совершенствования межбюджетных отношений реализован комплекс мер, направленных на обеспечение устойчивости и сбалансированности местных бюджетов путем расширения доходной базы муниципальных образований автономного округа, </w:t>
      </w:r>
      <w:proofErr w:type="spellStart"/>
      <w:r w:rsidRPr="008D394A">
        <w:rPr>
          <w:rFonts w:ascii="Times New Roman" w:hAnsi="Times New Roman" w:cs="Times New Roman"/>
          <w:color w:val="000000" w:themeColor="text1"/>
          <w:szCs w:val="22"/>
        </w:rPr>
        <w:t>приоритизации</w:t>
      </w:r>
      <w:proofErr w:type="spellEnd"/>
      <w:r w:rsidRPr="008D394A">
        <w:rPr>
          <w:rFonts w:ascii="Times New Roman" w:hAnsi="Times New Roman" w:cs="Times New Roman"/>
          <w:color w:val="000000" w:themeColor="text1"/>
          <w:szCs w:val="22"/>
        </w:rPr>
        <w:t xml:space="preserve"> и переориентации направлений предоставления целевых межбюджетных трансфертов местным бюджетам.</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proofErr w:type="gramStart"/>
      <w:r w:rsidRPr="008D394A">
        <w:rPr>
          <w:rFonts w:ascii="Times New Roman" w:hAnsi="Times New Roman" w:cs="Times New Roman"/>
          <w:color w:val="000000" w:themeColor="text1"/>
          <w:szCs w:val="22"/>
        </w:rPr>
        <w:t>С 2019 года внесены изменения в механизмы межбюджетного регулирования в части увеличения нецелевой финансовой помощи муниципальным образованиям автономного округа и норматива отчислений от налога на доходы физических лиц на 1,5%, что повысит заинтересованность органов местного самоуправления муниципальных образований автономного округа в наращивании налогового потенциала местных бюджетов, а также ответственность и самостоятельность в распределении ресурсов местных бюджетов.</w:t>
      </w:r>
      <w:proofErr w:type="gramEnd"/>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Повышению эффективности использования бюджетных сре</w:t>
      </w:r>
      <w:proofErr w:type="gramStart"/>
      <w:r w:rsidRPr="008D394A">
        <w:rPr>
          <w:rFonts w:ascii="Times New Roman" w:hAnsi="Times New Roman" w:cs="Times New Roman"/>
          <w:color w:val="000000" w:themeColor="text1"/>
          <w:szCs w:val="22"/>
        </w:rPr>
        <w:t>дств сп</w:t>
      </w:r>
      <w:proofErr w:type="gramEnd"/>
      <w:r w:rsidRPr="008D394A">
        <w:rPr>
          <w:rFonts w:ascii="Times New Roman" w:hAnsi="Times New Roman" w:cs="Times New Roman"/>
          <w:color w:val="000000" w:themeColor="text1"/>
          <w:szCs w:val="22"/>
        </w:rPr>
        <w:t>особствует внедрение в автономном округе механизмов инициативного бюджетирования.</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В целях совершенствования технологий и процедур бюджетного планирования на региональном уровне проводится интеграция информационных потоков, связанных с формированием на очередной финансовый год и плановый период закона о бюджете автономного округа и решений о бюджете муниципальных образований автономного округа, на основе применения единых стандартов планирования бюджетов.</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Бюджет автономного округа на 2019 - 2021 годы сформирован с использованием </w:t>
      </w:r>
      <w:proofErr w:type="spellStart"/>
      <w:r w:rsidRPr="008D394A">
        <w:rPr>
          <w:rFonts w:ascii="Times New Roman" w:hAnsi="Times New Roman" w:cs="Times New Roman"/>
          <w:color w:val="000000" w:themeColor="text1"/>
          <w:szCs w:val="22"/>
        </w:rPr>
        <w:t>web</w:t>
      </w:r>
      <w:proofErr w:type="spellEnd"/>
      <w:r w:rsidRPr="008D394A">
        <w:rPr>
          <w:rFonts w:ascii="Times New Roman" w:hAnsi="Times New Roman" w:cs="Times New Roman"/>
          <w:color w:val="000000" w:themeColor="text1"/>
          <w:szCs w:val="22"/>
        </w:rPr>
        <w:t xml:space="preserve">-технологий, что позволило обеспечить доступность подсистемы планирования для широкого </w:t>
      </w:r>
      <w:r w:rsidRPr="008D394A">
        <w:rPr>
          <w:rFonts w:ascii="Times New Roman" w:hAnsi="Times New Roman" w:cs="Times New Roman"/>
          <w:color w:val="000000" w:themeColor="text1"/>
          <w:szCs w:val="22"/>
        </w:rPr>
        <w:lastRenderedPageBreak/>
        <w:t>круга пользователей без необходимости установки дополнительного программного обеспечения.</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Основные направления бюджетной, налоговой и долговой политики автономного округа на 2019 - 2021 годы разработаны на основании сценарных условий базового варианта прогноза социально-экономического развития автономного округа на 2019 год и на плановый период 2020 и 2021 годов, характеризующего развитие экономики в условиях консервативных тенденций.</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proofErr w:type="gramStart"/>
      <w:r w:rsidRPr="008D394A">
        <w:rPr>
          <w:rFonts w:ascii="Times New Roman" w:hAnsi="Times New Roman" w:cs="Times New Roman"/>
          <w:color w:val="000000" w:themeColor="text1"/>
          <w:szCs w:val="22"/>
        </w:rPr>
        <w:t>В условиях ограниченности бюджетных ресурсов достижение национальных целей по ускорению темпов экономического роста, увеличения численности населения страны, повышения уровня жизни граждан, создания комфортных условий для их проживания и самореализации должно осуществляться в автономном округе за счет повышения эффективности государственных расходов бюджета автономного округа, привлечения в экономику региона частных инвестиций, создания комфортных условий ведения бизнеса, повышения производительности труда.</w:t>
      </w:r>
      <w:proofErr w:type="gramEnd"/>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Title"/>
        <w:contextualSpacing/>
        <w:jc w:val="center"/>
        <w:outlineLvl w:val="1"/>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 Параметры вариантов Долгосрочного прогноза и обоснование</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выбора варианта Долгосрочного прогноза в качестве базового</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для целей Бюджетного прогноза</w:t>
      </w:r>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Normal"/>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Бюджетный прогноз разрабатывается в условиях существенного изменения внешних условий функционирования российской экономики по сравнению с предшествующим десятилетием. На временном горизонте до 2036 года ожидается постепенное замедление темпов роста глобальной экономики с периодическими кризисными проявлениями.</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В этих условиях необходимо сформировать на долгосрочный период такой вариант развития бюджета автономного округа, который позволит обеспечить его сбалансированность и устойчивость при безусловном выполнении принятых и принимаемых бюджетных обязательств.</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При формировании Бюджетного прогноза рассматривались основные показатели Долгосрочного прогноза, который разработан в двух вариантах: базовом и целевом.</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Целевой вариант предполагает выход экономики автономного округа на траекторию устойчивого роста, стабилизацию инфляции при одновременном обеспечении макроэкономической сбалансированности.</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Базовый вариант характеризует развитие экономики автономного округа в условиях консервативных тенденций в мировой экономике.</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Бюджетное планирование на консервативном подходе исключает ошибку в результате чрезмерного оптимизма, влечет за собой значительно меньше отрицательных последствий. Отсюда предпочтительным при </w:t>
      </w:r>
      <w:proofErr w:type="gramStart"/>
      <w:r w:rsidRPr="008D394A">
        <w:rPr>
          <w:rFonts w:ascii="Times New Roman" w:hAnsi="Times New Roman" w:cs="Times New Roman"/>
          <w:color w:val="000000" w:themeColor="text1"/>
          <w:szCs w:val="22"/>
        </w:rPr>
        <w:t>выборе</w:t>
      </w:r>
      <w:proofErr w:type="gramEnd"/>
      <w:r w:rsidRPr="008D394A">
        <w:rPr>
          <w:rFonts w:ascii="Times New Roman" w:hAnsi="Times New Roman" w:cs="Times New Roman"/>
          <w:color w:val="000000" w:themeColor="text1"/>
          <w:szCs w:val="22"/>
        </w:rPr>
        <w:t xml:space="preserve"> варианта в качестве основного для целей бюджетного прогноза является базовый сценарий.</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Бюджетный прогноз на предстоящий период в полной мере учитывает прогнозируемые риски развития экономики, предусматривает адекватные меры по минимизации их неблагоприятного влияния на качество жизни населения автономного округа. На долгосрочный период основными направлениями работы должны стать мероприятия, обеспечивающие бюджетную устойчивость и общую макроэкономическую стабильность.</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Проявление основных внешних рисков устойчивости бюджетной системы автономного округа связано с возможностью развития кризисных явлений в мировой экономике.</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Ключевым источником бюджетных рисков в области доходов нефтегазоносной Югры служит волатильность цен на нефть марки "Юралс".</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На ближайшие годы нет экономических предпосылок для сохранения высоких цен. С наибольшей вероятностью цены на нефть на средн</w:t>
      </w:r>
      <w:proofErr w:type="gramStart"/>
      <w:r w:rsidRPr="008D394A">
        <w:rPr>
          <w:rFonts w:ascii="Times New Roman" w:hAnsi="Times New Roman" w:cs="Times New Roman"/>
          <w:color w:val="000000" w:themeColor="text1"/>
          <w:szCs w:val="22"/>
        </w:rPr>
        <w:t>е-</w:t>
      </w:r>
      <w:proofErr w:type="gramEnd"/>
      <w:r w:rsidRPr="008D394A">
        <w:rPr>
          <w:rFonts w:ascii="Times New Roman" w:hAnsi="Times New Roman" w:cs="Times New Roman"/>
          <w:color w:val="000000" w:themeColor="text1"/>
          <w:szCs w:val="22"/>
        </w:rPr>
        <w:t xml:space="preserve"> и долгосрочном горизонте стабилизируются в диапазоне 40 - 45 долларов за баррель в постоянных ценах. Ухудшение ценовой конъюнктуры может создать негативный фон для деятельности нефтегазового сектора и смежных с ним отраслей, снижения инвестиционной активности и может повлиять на реализацию </w:t>
      </w:r>
      <w:proofErr w:type="gramStart"/>
      <w:r w:rsidRPr="008D394A">
        <w:rPr>
          <w:rFonts w:ascii="Times New Roman" w:hAnsi="Times New Roman" w:cs="Times New Roman"/>
          <w:color w:val="000000" w:themeColor="text1"/>
          <w:szCs w:val="22"/>
        </w:rPr>
        <w:t>бизнес-проектов</w:t>
      </w:r>
      <w:proofErr w:type="gramEnd"/>
      <w:r w:rsidRPr="008D394A">
        <w:rPr>
          <w:rFonts w:ascii="Times New Roman" w:hAnsi="Times New Roman" w:cs="Times New Roman"/>
          <w:color w:val="000000" w:themeColor="text1"/>
          <w:szCs w:val="22"/>
        </w:rPr>
        <w:t xml:space="preserve"> в автономном округе, а также отразиться на рынке труда, повышении благосостояния и покупательского спроса населения.</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К числу важнейших внутренних рисков устойчивости бюджетной системы автономного округа следует отнести снижение объемов добычи нефти на старых месторождениях, </w:t>
      </w:r>
      <w:proofErr w:type="gramStart"/>
      <w:r w:rsidRPr="008D394A">
        <w:rPr>
          <w:rFonts w:ascii="Times New Roman" w:hAnsi="Times New Roman" w:cs="Times New Roman"/>
          <w:color w:val="000000" w:themeColor="text1"/>
          <w:szCs w:val="22"/>
        </w:rPr>
        <w:t>определявшим</w:t>
      </w:r>
      <w:proofErr w:type="gramEnd"/>
      <w:r w:rsidRPr="008D394A">
        <w:rPr>
          <w:rFonts w:ascii="Times New Roman" w:hAnsi="Times New Roman" w:cs="Times New Roman"/>
          <w:color w:val="000000" w:themeColor="text1"/>
          <w:szCs w:val="22"/>
        </w:rPr>
        <w:t xml:space="preserve"> профиль добычи нефти в регионе в последние десятилетия.</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По запасам </w:t>
      </w:r>
      <w:proofErr w:type="spellStart"/>
      <w:r w:rsidRPr="008D394A">
        <w:rPr>
          <w:rFonts w:ascii="Times New Roman" w:hAnsi="Times New Roman" w:cs="Times New Roman"/>
          <w:color w:val="000000" w:themeColor="text1"/>
          <w:szCs w:val="22"/>
        </w:rPr>
        <w:t>трудноизвлекаемой</w:t>
      </w:r>
      <w:proofErr w:type="spellEnd"/>
      <w:r w:rsidRPr="008D394A">
        <w:rPr>
          <w:rFonts w:ascii="Times New Roman" w:hAnsi="Times New Roman" w:cs="Times New Roman"/>
          <w:color w:val="000000" w:themeColor="text1"/>
          <w:szCs w:val="22"/>
        </w:rPr>
        <w:t xml:space="preserve"> нефти Югра является одним из лидеров среди регионов Российской Федерации.</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В целях стимулирования разработки новых месторождений и рационального недропользования предусматривается введение с 1 января 2019 года нового режима </w:t>
      </w:r>
      <w:r w:rsidRPr="008D394A">
        <w:rPr>
          <w:rFonts w:ascii="Times New Roman" w:hAnsi="Times New Roman" w:cs="Times New Roman"/>
          <w:color w:val="000000" w:themeColor="text1"/>
          <w:szCs w:val="22"/>
        </w:rPr>
        <w:lastRenderedPageBreak/>
        <w:t xml:space="preserve">налогообложения для нефтяного сектора - налог на дополнительный доход при добыче углеводородного сырья (далее - </w:t>
      </w:r>
      <w:proofErr w:type="spellStart"/>
      <w:r w:rsidRPr="008D394A">
        <w:rPr>
          <w:rFonts w:ascii="Times New Roman" w:hAnsi="Times New Roman" w:cs="Times New Roman"/>
          <w:color w:val="000000" w:themeColor="text1"/>
          <w:szCs w:val="22"/>
        </w:rPr>
        <w:t>НДД</w:t>
      </w:r>
      <w:proofErr w:type="spellEnd"/>
      <w:r w:rsidRPr="008D394A">
        <w:rPr>
          <w:rFonts w:ascii="Times New Roman" w:hAnsi="Times New Roman" w:cs="Times New Roman"/>
          <w:color w:val="000000" w:themeColor="text1"/>
          <w:szCs w:val="22"/>
        </w:rPr>
        <w:t>).</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Режим </w:t>
      </w:r>
      <w:proofErr w:type="spellStart"/>
      <w:r w:rsidRPr="008D394A">
        <w:rPr>
          <w:rFonts w:ascii="Times New Roman" w:hAnsi="Times New Roman" w:cs="Times New Roman"/>
          <w:color w:val="000000" w:themeColor="text1"/>
          <w:szCs w:val="22"/>
        </w:rPr>
        <w:t>НДД</w:t>
      </w:r>
      <w:proofErr w:type="spellEnd"/>
      <w:r w:rsidRPr="008D394A">
        <w:rPr>
          <w:rFonts w:ascii="Times New Roman" w:hAnsi="Times New Roman" w:cs="Times New Roman"/>
          <w:color w:val="000000" w:themeColor="text1"/>
          <w:szCs w:val="22"/>
        </w:rPr>
        <w:t xml:space="preserve"> будет осуществляться в тестовом режиме на отдельных участках недр, </w:t>
      </w:r>
      <w:proofErr w:type="gramStart"/>
      <w:r w:rsidRPr="008D394A">
        <w:rPr>
          <w:rFonts w:ascii="Times New Roman" w:hAnsi="Times New Roman" w:cs="Times New Roman"/>
          <w:color w:val="000000" w:themeColor="text1"/>
          <w:szCs w:val="22"/>
        </w:rPr>
        <w:t>расположенных</w:t>
      </w:r>
      <w:proofErr w:type="gramEnd"/>
      <w:r w:rsidRPr="008D394A">
        <w:rPr>
          <w:rFonts w:ascii="Times New Roman" w:hAnsi="Times New Roman" w:cs="Times New Roman"/>
          <w:color w:val="000000" w:themeColor="text1"/>
          <w:szCs w:val="22"/>
        </w:rPr>
        <w:t xml:space="preserve"> в том числе в Югре. На первоначальном этапе ожидается отрицательное влияние на доходы бюджета автономного округа от введения новой системы.</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proofErr w:type="gramStart"/>
      <w:r w:rsidRPr="008D394A">
        <w:rPr>
          <w:rFonts w:ascii="Times New Roman" w:hAnsi="Times New Roman" w:cs="Times New Roman"/>
          <w:color w:val="000000" w:themeColor="text1"/>
          <w:szCs w:val="22"/>
        </w:rPr>
        <w:t xml:space="preserve">Наряду с рисками в экономике автономного округа необходимо учитывать и внутренние риски бюджетной системы, к которым следует отнести изменение федерального законодательства, непрогнозируемый объем денежных средств, возвращаемых крупнейшими налогоплательщиками в соответствии с Налоговым </w:t>
      </w:r>
      <w:hyperlink r:id="rId21" w:history="1">
        <w:r w:rsidRPr="008D394A">
          <w:rPr>
            <w:rFonts w:ascii="Times New Roman" w:hAnsi="Times New Roman" w:cs="Times New Roman"/>
            <w:color w:val="000000" w:themeColor="text1"/>
            <w:szCs w:val="22"/>
          </w:rPr>
          <w:t>кодексом</w:t>
        </w:r>
      </w:hyperlink>
      <w:r w:rsidRPr="008D394A">
        <w:rPr>
          <w:rFonts w:ascii="Times New Roman" w:hAnsi="Times New Roman" w:cs="Times New Roman"/>
          <w:color w:val="000000" w:themeColor="text1"/>
          <w:szCs w:val="22"/>
        </w:rPr>
        <w:t xml:space="preserve"> Российской Федерации, что приводит к росту расходов и снижению доходов региональных бюджетов, необоснованному увеличению расходной части бюджета автономного округа за счет поступающих сверхплановых доходов, связанных с изменением</w:t>
      </w:r>
      <w:proofErr w:type="gramEnd"/>
      <w:r w:rsidRPr="008D394A">
        <w:rPr>
          <w:rFonts w:ascii="Times New Roman" w:hAnsi="Times New Roman" w:cs="Times New Roman"/>
          <w:color w:val="000000" w:themeColor="text1"/>
          <w:szCs w:val="22"/>
        </w:rPr>
        <w:t xml:space="preserve"> конъюнктуры рынка углеводородов.</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Внутренние риски бюджетной системы автономного округа влияют в первую очередь на обеспечение сбалансированности и устойчивости бюджетной системы автономного округа.</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Долгосрочные бюджетные риски, связанные с комплексным негативным воздействием внешних и внутренних факторов, потребуют строгого соблюдения количественных ограничений на бюджетные параметры на основе новой конструкции "бюджетных правил". Данный инструмент позволит Югре нивелировать влияние колебаний цен на мировых рынках (как </w:t>
      </w:r>
      <w:proofErr w:type="gramStart"/>
      <w:r w:rsidRPr="008D394A">
        <w:rPr>
          <w:rFonts w:ascii="Times New Roman" w:hAnsi="Times New Roman" w:cs="Times New Roman"/>
          <w:color w:val="000000" w:themeColor="text1"/>
          <w:szCs w:val="22"/>
        </w:rPr>
        <w:t>в</w:t>
      </w:r>
      <w:proofErr w:type="gramEnd"/>
      <w:r w:rsidRPr="008D394A">
        <w:rPr>
          <w:rFonts w:ascii="Times New Roman" w:hAnsi="Times New Roman" w:cs="Times New Roman"/>
          <w:color w:val="000000" w:themeColor="text1"/>
          <w:szCs w:val="22"/>
        </w:rPr>
        <w:t xml:space="preserve"> краткосрочных, так и долгосрочных сырьевых </w:t>
      </w:r>
      <w:proofErr w:type="spellStart"/>
      <w:r w:rsidRPr="008D394A">
        <w:rPr>
          <w:rFonts w:ascii="Times New Roman" w:hAnsi="Times New Roman" w:cs="Times New Roman"/>
          <w:color w:val="000000" w:themeColor="text1"/>
          <w:szCs w:val="22"/>
        </w:rPr>
        <w:t>суперциклов</w:t>
      </w:r>
      <w:proofErr w:type="spellEnd"/>
      <w:r w:rsidRPr="008D394A">
        <w:rPr>
          <w:rFonts w:ascii="Times New Roman" w:hAnsi="Times New Roman" w:cs="Times New Roman"/>
          <w:color w:val="000000" w:themeColor="text1"/>
          <w:szCs w:val="22"/>
        </w:rPr>
        <w:t>).</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Учет положений бюджетного прогноза на долгосрочный период позволит обеспечить достижение стратегических целей социально-экономического развития автономного округа.</w:t>
      </w:r>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Title"/>
        <w:contextualSpacing/>
        <w:jc w:val="center"/>
        <w:outlineLvl w:val="1"/>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3. Основные подходы к формированию </w:t>
      </w:r>
      <w:proofErr w:type="gramStart"/>
      <w:r w:rsidRPr="008D394A">
        <w:rPr>
          <w:rFonts w:ascii="Times New Roman" w:hAnsi="Times New Roman" w:cs="Times New Roman"/>
          <w:color w:val="000000" w:themeColor="text1"/>
          <w:szCs w:val="22"/>
        </w:rPr>
        <w:t>налоговой</w:t>
      </w:r>
      <w:proofErr w:type="gramEnd"/>
      <w:r w:rsidRPr="008D394A">
        <w:rPr>
          <w:rFonts w:ascii="Times New Roman" w:hAnsi="Times New Roman" w:cs="Times New Roman"/>
          <w:color w:val="000000" w:themeColor="text1"/>
          <w:szCs w:val="22"/>
        </w:rPr>
        <w:t>, бюджетной</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и долговой политики автономного округа на долгосрочный</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период</w:t>
      </w:r>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Normal"/>
        <w:ind w:firstLine="540"/>
        <w:contextualSpacing/>
        <w:jc w:val="both"/>
        <w:rPr>
          <w:rFonts w:ascii="Times New Roman" w:hAnsi="Times New Roman" w:cs="Times New Roman"/>
          <w:color w:val="000000" w:themeColor="text1"/>
          <w:szCs w:val="22"/>
        </w:rPr>
      </w:pPr>
      <w:proofErr w:type="gramStart"/>
      <w:r w:rsidRPr="008D394A">
        <w:rPr>
          <w:rFonts w:ascii="Times New Roman" w:hAnsi="Times New Roman" w:cs="Times New Roman"/>
          <w:color w:val="000000" w:themeColor="text1"/>
          <w:szCs w:val="22"/>
        </w:rPr>
        <w:t>В условиях решения ключевых задач, поставленных Президентом Российской Федерации в качестве национальных целей развития страны, основные подходы к формированию налоговой, бюджетной и долговой политики автономного округа на долгосрочный период ориентированы на сохранение устойчивости и сбалансированности бюджетной системы, повышение качества жизни населения автономного округа и рост его благосостояния.</w:t>
      </w:r>
      <w:proofErr w:type="gramEnd"/>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В целом политика по формированию доходов бюджетов бюджетной системы автономного округа, включая законодательство автономного округа о налогах и сборах, регулирование вопросов использования имущества, а также бюджетного законодательства, будет основана на следующих подходах:</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обеспечение неизменности налоговой нагрузки по секторам экономики, в которых достигнут ее оптимальный уровень с учетом требований сбалансированности бюджетной системы автономного округа;</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синхронизация решений по налоговой политике с установленными показателями национальных проектов развития;</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сохранение в полном объеме льгот для наименее социально защищенных слоев населения автономного округа;</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внедрение системы управления налоговыми расходами и ее интеграция в бюджетный процесс;</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применение льготных налоговых режимов к предприятиям, реализующим проекты по созданию современной промышленной инфраструктуры, развитию новых направлений в обрабатывающем производстве либо модернизации существующих производственных мощностей с целью стимулирования роста налогооблагаемой базы и создания дополнительных рабочих мест;</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обеспечение заинтересованности органов местного самоуправления в максимальной мобилизации доходов;</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формирование эффективной системы управления государственным имуществом автономного округа, включая развитие конкурентоспособности и инвестиционной привлекательности компаний с государственным участием, повышение уровня их корпоративного управления и информационной прозрачности.</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Таким образом, налоговая политика, а также политика управления государственным (муниципальным) имуществом должны обеспечить объем бюджетных доходов, необходимый для исполнения расходных обязательств автономного округа и муниципальных образований, а также </w:t>
      </w:r>
      <w:r w:rsidRPr="008D394A">
        <w:rPr>
          <w:rFonts w:ascii="Times New Roman" w:hAnsi="Times New Roman" w:cs="Times New Roman"/>
          <w:color w:val="000000" w:themeColor="text1"/>
          <w:szCs w:val="22"/>
        </w:rPr>
        <w:lastRenderedPageBreak/>
        <w:t>поддерживать благоприятные условия для отраслевых точек роста и притока инвестиций, развития малого и среднего предпринимательства и улучшения делового климата.</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В автономном округе будет продолжена практика ежегодного заключения соглашений о взаимном сотрудничестве в области социально-экономического развития Югры с крупнейшими налогоплательщиками.</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Особое внимание должно быть уделено обоснованности механизмов реализации и ресурсного обеспечения государственных программ автономного округа, их ориентации на достижение стратегических целей социально-экономического развития автономного округа.</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В целом, необходимо продолжить практику и совершенствование системы ежегодного анализа эффективности расходов по каждому направлению, в том числе динамики достижения соответствующих целевых показателей, показателей эффективности управления имуществом, результатов предоставления налоговых льгот.</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proofErr w:type="gramStart"/>
      <w:r w:rsidRPr="008D394A">
        <w:rPr>
          <w:rFonts w:ascii="Times New Roman" w:hAnsi="Times New Roman" w:cs="Times New Roman"/>
          <w:color w:val="000000" w:themeColor="text1"/>
          <w:szCs w:val="22"/>
        </w:rPr>
        <w:t xml:space="preserve">В целях снижения негативных последствий от возможного введения жестких ограничений, связанных с неблагоприятной ситуацией в мировой экономике, необходима работа по четкой </w:t>
      </w:r>
      <w:proofErr w:type="spellStart"/>
      <w:r w:rsidRPr="008D394A">
        <w:rPr>
          <w:rFonts w:ascii="Times New Roman" w:hAnsi="Times New Roman" w:cs="Times New Roman"/>
          <w:color w:val="000000" w:themeColor="text1"/>
          <w:szCs w:val="22"/>
        </w:rPr>
        <w:t>приоритизации</w:t>
      </w:r>
      <w:proofErr w:type="spellEnd"/>
      <w:r w:rsidRPr="008D394A">
        <w:rPr>
          <w:rFonts w:ascii="Times New Roman" w:hAnsi="Times New Roman" w:cs="Times New Roman"/>
          <w:color w:val="000000" w:themeColor="text1"/>
          <w:szCs w:val="22"/>
        </w:rPr>
        <w:t xml:space="preserve"> расходных обязательств публично-правовых образований (должна меняться структура бюджетных расходов в пользу наиболее эффективных и обеспечивающих достижение положительного социально-экономическое эффекта).</w:t>
      </w:r>
      <w:proofErr w:type="gramEnd"/>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Необходимо установление единых требований к подготовке предложений по распределению дополнительных бюджетных ассигнований, в том числе критериев их </w:t>
      </w:r>
      <w:proofErr w:type="spellStart"/>
      <w:r w:rsidRPr="008D394A">
        <w:rPr>
          <w:rFonts w:ascii="Times New Roman" w:hAnsi="Times New Roman" w:cs="Times New Roman"/>
          <w:color w:val="000000" w:themeColor="text1"/>
          <w:szCs w:val="22"/>
        </w:rPr>
        <w:t>приоритизации</w:t>
      </w:r>
      <w:proofErr w:type="spellEnd"/>
      <w:r w:rsidRPr="008D394A">
        <w:rPr>
          <w:rFonts w:ascii="Times New Roman" w:hAnsi="Times New Roman" w:cs="Times New Roman"/>
          <w:color w:val="000000" w:themeColor="text1"/>
          <w:szCs w:val="22"/>
        </w:rPr>
        <w:t xml:space="preserve"> в целях принятия решений о принимаемых расходных обязательствах.</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Повышение эффективности и качества оказания государственных услуг в социальной сфере должно базироваться на развитии конкуренции путем формирования и утверждения государственного социального заказа, развитии социального предпринимательства.</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Бюджетные инвестиции в экономику автономного округа должны стимулировать рост частных инвестиций, способствовать формированию современной промышленной, транспортной, инженерной, коммуникационной, социальной инфраструктуры, созданию и локализации новых промышленных производств.</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В сфере межбюджетных отношений должна быть продолжена реализация комплекса мер, направленных на обеспечение устойчивости и сбалансированности местных бюджетов, путем расширения доходной базы муниципальных образований, повышения эффективности предоставления межбюджетных трансфертов.</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Долговая политика автономного округа должна быть направлена на сохранение устойчивой траектории государственного долга, поддержание долговой нагрузки на бюджет автономного округа на прежнем уровне.</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Необходимо обеспечить эффективность осуществления государственных заимствований во взаимосвязи с их объемом, способным обеспечить решение социально-экономических задач развития автономного округа, не допуская при этом необоснованного роста государственного долга, повышения рисков неисполнения долговых обязательств и последующего роста расходов на его обслуживание.</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Инструменты бюджетной политики в долгосрочной перспективе должны быть нацелены на противодействие факторам нестабильности - бюджетному дефициту, возникновению нефинансируемых (неисполняемых) расходных обязательств публично-правовых образований, росту долговой нагрузки. Необходимо продолжить политику ограничения на институциональной основе роста (прироста) расходов бюджетной системы, не обеспеченных стабильными доходными источниками.</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Одним из приоритетов социально-экономического развития автономного округа должна являться диверсификация экономики региона и снижение зависимости бюджета Югры от волатильности рынка углеводородов, формирование устойчивого роста доли обрабатывающей промышленности в структуре валового регионального продукта Югры. В целях реализации масштабных инвестиционных проектов необходимо обеспечить использование федеральных инструментов софинансирования расходов, привлечение внебюджетных источников инвестиций.</w:t>
      </w:r>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Реализация этих мер будет являться необходимым условием общего роста эффективности системы управления государственными финансами и, как следствие, минимизации рисков несбалансированности бюджетов бюджетной системы автономного округа в долгосрочном периоде.</w:t>
      </w:r>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Title"/>
        <w:contextualSpacing/>
        <w:jc w:val="center"/>
        <w:outlineLvl w:val="1"/>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4. </w:t>
      </w:r>
      <w:proofErr w:type="gramStart"/>
      <w:r w:rsidRPr="008D394A">
        <w:rPr>
          <w:rFonts w:ascii="Times New Roman" w:hAnsi="Times New Roman" w:cs="Times New Roman"/>
          <w:color w:val="000000" w:themeColor="text1"/>
          <w:szCs w:val="22"/>
        </w:rPr>
        <w:t>Основные характеристики бюджета (консолидированного</w:t>
      </w:r>
      <w:proofErr w:type="gramEnd"/>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lastRenderedPageBreak/>
        <w:t xml:space="preserve">бюджета) автономного округа, показатели </w:t>
      </w:r>
      <w:proofErr w:type="gramStart"/>
      <w:r w:rsidRPr="008D394A">
        <w:rPr>
          <w:rFonts w:ascii="Times New Roman" w:hAnsi="Times New Roman" w:cs="Times New Roman"/>
          <w:color w:val="000000" w:themeColor="text1"/>
          <w:szCs w:val="22"/>
        </w:rPr>
        <w:t>финансового</w:t>
      </w:r>
      <w:proofErr w:type="gramEnd"/>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обеспечения государственных программ автономного округа,</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прогноз расходов бюджета автономного округа на осуществление</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непрограммных направлений деятельности</w:t>
      </w:r>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Normal"/>
        <w:ind w:firstLine="540"/>
        <w:contextualSpacing/>
        <w:jc w:val="both"/>
        <w:rPr>
          <w:rFonts w:ascii="Times New Roman" w:hAnsi="Times New Roman" w:cs="Times New Roman"/>
          <w:color w:val="000000" w:themeColor="text1"/>
          <w:szCs w:val="22"/>
        </w:rPr>
      </w:pPr>
      <w:proofErr w:type="gramStart"/>
      <w:r w:rsidRPr="008D394A">
        <w:rPr>
          <w:rFonts w:ascii="Times New Roman" w:hAnsi="Times New Roman" w:cs="Times New Roman"/>
          <w:color w:val="000000" w:themeColor="text1"/>
          <w:szCs w:val="22"/>
        </w:rPr>
        <w:t xml:space="preserve">Прогноз основных характеристик бюджета (консолидированного бюджета) автономного округа, показатели финансового обеспечения государственных программ автономного округа, прогноз расходов бюджета автономного округа на осуществление непрограммных направлений деятельности, основанный на целевом варианте социально-экономического развития автономного округа, приведены в </w:t>
      </w:r>
      <w:hyperlink w:anchor="P131" w:history="1">
        <w:r w:rsidRPr="008D394A">
          <w:rPr>
            <w:rFonts w:ascii="Times New Roman" w:hAnsi="Times New Roman" w:cs="Times New Roman"/>
            <w:color w:val="000000" w:themeColor="text1"/>
            <w:szCs w:val="22"/>
          </w:rPr>
          <w:t>таблицах 1</w:t>
        </w:r>
      </w:hyperlink>
      <w:r w:rsidRPr="008D394A">
        <w:rPr>
          <w:rFonts w:ascii="Times New Roman" w:hAnsi="Times New Roman" w:cs="Times New Roman"/>
          <w:color w:val="000000" w:themeColor="text1"/>
          <w:szCs w:val="22"/>
        </w:rPr>
        <w:t xml:space="preserve"> - </w:t>
      </w:r>
      <w:hyperlink w:anchor="P199" w:history="1">
        <w:r w:rsidRPr="008D394A">
          <w:rPr>
            <w:rFonts w:ascii="Times New Roman" w:hAnsi="Times New Roman" w:cs="Times New Roman"/>
            <w:color w:val="000000" w:themeColor="text1"/>
            <w:szCs w:val="22"/>
          </w:rPr>
          <w:t>2</w:t>
        </w:r>
      </w:hyperlink>
      <w:r w:rsidRPr="008D394A">
        <w:rPr>
          <w:rFonts w:ascii="Times New Roman" w:hAnsi="Times New Roman" w:cs="Times New Roman"/>
          <w:color w:val="000000" w:themeColor="text1"/>
          <w:szCs w:val="22"/>
        </w:rPr>
        <w:t>.</w:t>
      </w:r>
      <w:proofErr w:type="gramEnd"/>
    </w:p>
    <w:p w:rsidR="007F0DF5" w:rsidRPr="008D394A" w:rsidRDefault="007F0DF5" w:rsidP="008D394A">
      <w:pPr>
        <w:pStyle w:val="ConsPlusNormal"/>
        <w:spacing w:before="220"/>
        <w:ind w:firstLine="540"/>
        <w:contextualSpacing/>
        <w:jc w:val="both"/>
        <w:rPr>
          <w:rFonts w:ascii="Times New Roman" w:hAnsi="Times New Roman" w:cs="Times New Roman"/>
          <w:color w:val="000000" w:themeColor="text1"/>
          <w:szCs w:val="22"/>
        </w:rPr>
      </w:pPr>
      <w:proofErr w:type="gramStart"/>
      <w:r w:rsidRPr="008D394A">
        <w:rPr>
          <w:rFonts w:ascii="Times New Roman" w:hAnsi="Times New Roman" w:cs="Times New Roman"/>
          <w:color w:val="000000" w:themeColor="text1"/>
          <w:szCs w:val="22"/>
        </w:rPr>
        <w:t xml:space="preserve">Прогноз основных характеристик бюджета (консолидированного бюджета) автономного округа, показатели финансового обеспечения государственных программ автономного округа, прогноз расходов бюджета автономного округа на осуществление непрограммных направлений деятельности, основанный на базовом варианте социально-экономического развития автономного округа, приведены в </w:t>
      </w:r>
      <w:hyperlink w:anchor="P291" w:history="1">
        <w:r w:rsidRPr="008D394A">
          <w:rPr>
            <w:rFonts w:ascii="Times New Roman" w:hAnsi="Times New Roman" w:cs="Times New Roman"/>
            <w:color w:val="000000" w:themeColor="text1"/>
            <w:szCs w:val="22"/>
          </w:rPr>
          <w:t>таблицах 3</w:t>
        </w:r>
      </w:hyperlink>
      <w:r w:rsidRPr="008D394A">
        <w:rPr>
          <w:rFonts w:ascii="Times New Roman" w:hAnsi="Times New Roman" w:cs="Times New Roman"/>
          <w:color w:val="000000" w:themeColor="text1"/>
          <w:szCs w:val="22"/>
        </w:rPr>
        <w:t xml:space="preserve"> - </w:t>
      </w:r>
      <w:hyperlink w:anchor="P359" w:history="1">
        <w:r w:rsidRPr="008D394A">
          <w:rPr>
            <w:rFonts w:ascii="Times New Roman" w:hAnsi="Times New Roman" w:cs="Times New Roman"/>
            <w:color w:val="000000" w:themeColor="text1"/>
            <w:szCs w:val="22"/>
          </w:rPr>
          <w:t>4</w:t>
        </w:r>
      </w:hyperlink>
      <w:r w:rsidRPr="008D394A">
        <w:rPr>
          <w:rFonts w:ascii="Times New Roman" w:hAnsi="Times New Roman" w:cs="Times New Roman"/>
          <w:color w:val="000000" w:themeColor="text1"/>
          <w:szCs w:val="22"/>
        </w:rPr>
        <w:t>.</w:t>
      </w:r>
      <w:proofErr w:type="gramEnd"/>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Normal"/>
        <w:contextualSpacing/>
        <w:jc w:val="right"/>
        <w:outlineLvl w:val="2"/>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Таблица 1</w:t>
      </w:r>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Title"/>
        <w:contextualSpacing/>
        <w:jc w:val="center"/>
        <w:rPr>
          <w:rFonts w:ascii="Times New Roman" w:hAnsi="Times New Roman" w:cs="Times New Roman"/>
          <w:color w:val="000000" w:themeColor="text1"/>
          <w:szCs w:val="22"/>
        </w:rPr>
      </w:pPr>
      <w:bookmarkStart w:id="2" w:name="P131"/>
      <w:bookmarkEnd w:id="2"/>
      <w:r w:rsidRPr="008D394A">
        <w:rPr>
          <w:rFonts w:ascii="Times New Roman" w:hAnsi="Times New Roman" w:cs="Times New Roman"/>
          <w:color w:val="000000" w:themeColor="text1"/>
          <w:szCs w:val="22"/>
        </w:rPr>
        <w:t xml:space="preserve">Прогноз основных характеристик </w:t>
      </w:r>
      <w:proofErr w:type="gramStart"/>
      <w:r w:rsidRPr="008D394A">
        <w:rPr>
          <w:rFonts w:ascii="Times New Roman" w:hAnsi="Times New Roman" w:cs="Times New Roman"/>
          <w:color w:val="000000" w:themeColor="text1"/>
          <w:szCs w:val="22"/>
        </w:rPr>
        <w:t>консолидированного</w:t>
      </w:r>
      <w:proofErr w:type="gramEnd"/>
      <w:r w:rsidRPr="008D394A">
        <w:rPr>
          <w:rFonts w:ascii="Times New Roman" w:hAnsi="Times New Roman" w:cs="Times New Roman"/>
          <w:color w:val="000000" w:themeColor="text1"/>
          <w:szCs w:val="22"/>
        </w:rPr>
        <w:t xml:space="preserve"> бюджета</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Ханты-Мансийского автономного округа - Югры, основанный</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на целевом варианте </w:t>
      </w:r>
      <w:proofErr w:type="gramStart"/>
      <w:r w:rsidRPr="008D394A">
        <w:rPr>
          <w:rFonts w:ascii="Times New Roman" w:hAnsi="Times New Roman" w:cs="Times New Roman"/>
          <w:color w:val="000000" w:themeColor="text1"/>
          <w:szCs w:val="22"/>
        </w:rPr>
        <w:t>социально-экономического</w:t>
      </w:r>
      <w:proofErr w:type="gramEnd"/>
      <w:r w:rsidRPr="008D394A">
        <w:rPr>
          <w:rFonts w:ascii="Times New Roman" w:hAnsi="Times New Roman" w:cs="Times New Roman"/>
          <w:color w:val="000000" w:themeColor="text1"/>
          <w:szCs w:val="22"/>
        </w:rPr>
        <w:t xml:space="preserve"> развития</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Ханты-Мансийского автономного округа - Югры</w:t>
      </w:r>
    </w:p>
    <w:p w:rsidR="007F0DF5" w:rsidRPr="008D394A" w:rsidRDefault="007F0DF5" w:rsidP="008D394A">
      <w:pPr>
        <w:pStyle w:val="ConsPlusNormal"/>
        <w:contextualSpacing/>
        <w:jc w:val="both"/>
        <w:rPr>
          <w:rFonts w:ascii="Times New Roman" w:hAnsi="Times New Roman" w:cs="Times New Roman"/>
          <w:color w:val="000000" w:themeColor="text1"/>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737"/>
        <w:gridCol w:w="680"/>
        <w:gridCol w:w="680"/>
        <w:gridCol w:w="737"/>
        <w:gridCol w:w="680"/>
        <w:gridCol w:w="737"/>
        <w:gridCol w:w="680"/>
        <w:gridCol w:w="850"/>
        <w:gridCol w:w="850"/>
      </w:tblGrid>
      <w:tr w:rsidR="007F0DF5" w:rsidRPr="008D394A">
        <w:tc>
          <w:tcPr>
            <w:tcW w:w="2381"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Наименование показателя</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2019 год</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2020 год</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2021 год</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2022 год</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2023 год</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2024 год</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2025 год</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2026 - 2030 годы</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2031 - 2036 годы</w:t>
            </w:r>
          </w:p>
        </w:tc>
      </w:tr>
      <w:tr w:rsidR="007F0DF5" w:rsidRPr="008D394A">
        <w:tc>
          <w:tcPr>
            <w:tcW w:w="2381" w:type="dxa"/>
          </w:tcPr>
          <w:p w:rsidR="007F0DF5" w:rsidRPr="008D394A" w:rsidRDefault="007F0DF5" w:rsidP="008D394A">
            <w:pPr>
              <w:pStyle w:val="ConsPlusNormal"/>
              <w:contextualSpacing/>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Доходы консолидированного бюджета, млрд. руб.</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258,3</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261,6</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264,2</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265,3</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266,1</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267,5</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270,3</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1422,9</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1909,6</w:t>
            </w:r>
          </w:p>
        </w:tc>
      </w:tr>
      <w:tr w:rsidR="007F0DF5" w:rsidRPr="008D394A">
        <w:tc>
          <w:tcPr>
            <w:tcW w:w="2381" w:type="dxa"/>
          </w:tcPr>
          <w:p w:rsidR="007F0DF5" w:rsidRPr="008D394A" w:rsidRDefault="007F0DF5" w:rsidP="008D394A">
            <w:pPr>
              <w:pStyle w:val="ConsPlusNormal"/>
              <w:contextualSpacing/>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Расходы консолидированного бюджета, млрд. руб.</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280,4</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276,7</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281,7</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277,1</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278,1</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278,9</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279,1</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1402,3</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1791,4</w:t>
            </w:r>
          </w:p>
        </w:tc>
      </w:tr>
      <w:tr w:rsidR="007F0DF5" w:rsidRPr="008D394A">
        <w:tc>
          <w:tcPr>
            <w:tcW w:w="2381" w:type="dxa"/>
          </w:tcPr>
          <w:p w:rsidR="007F0DF5" w:rsidRPr="008D394A" w:rsidRDefault="007F0DF5" w:rsidP="008D394A">
            <w:pPr>
              <w:pStyle w:val="ConsPlusNormal"/>
              <w:contextualSpacing/>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Дефицит (профицит) консолидированного бюджета, млрд. руб.</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-22,1</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-15,1</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-17,5</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-11,8</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-12,0</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-11,4</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-8,8</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+20,6</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+118,2</w:t>
            </w:r>
          </w:p>
        </w:tc>
      </w:tr>
      <w:tr w:rsidR="007F0DF5" w:rsidRPr="008D394A">
        <w:tc>
          <w:tcPr>
            <w:tcW w:w="2381" w:type="dxa"/>
          </w:tcPr>
          <w:p w:rsidR="007F0DF5" w:rsidRPr="008D394A" w:rsidRDefault="007F0DF5" w:rsidP="008D394A">
            <w:pPr>
              <w:pStyle w:val="ConsPlusNormal"/>
              <w:contextualSpacing/>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Государственный и муниципальный долг, млрд. руб.</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18,6</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16,8</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33,7</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44,8</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54,1</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60,1</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63,8</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19,2</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0,0</w:t>
            </w:r>
          </w:p>
        </w:tc>
      </w:tr>
      <w:tr w:rsidR="007F0DF5" w:rsidRPr="008D394A">
        <w:tc>
          <w:tcPr>
            <w:tcW w:w="2381" w:type="dxa"/>
          </w:tcPr>
          <w:p w:rsidR="007F0DF5" w:rsidRPr="008D394A" w:rsidRDefault="007F0DF5" w:rsidP="008D394A">
            <w:pPr>
              <w:pStyle w:val="ConsPlusNormal"/>
              <w:contextualSpacing/>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Государственный и муниципальный долг, % от ВРП</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0,5</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0,4</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0,8</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1,0</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1,2</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1,3</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1,3</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0,4</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0,0</w:t>
            </w:r>
          </w:p>
        </w:tc>
      </w:tr>
    </w:tbl>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Normal"/>
        <w:contextualSpacing/>
        <w:jc w:val="right"/>
        <w:outlineLvl w:val="2"/>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Таблица 2</w:t>
      </w:r>
    </w:p>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7F0DF5" w:rsidRPr="008D394A" w:rsidRDefault="007F0DF5" w:rsidP="008D394A">
      <w:pPr>
        <w:pStyle w:val="ConsPlusTitle"/>
        <w:contextualSpacing/>
        <w:jc w:val="center"/>
        <w:rPr>
          <w:rFonts w:ascii="Times New Roman" w:hAnsi="Times New Roman" w:cs="Times New Roman"/>
          <w:color w:val="000000" w:themeColor="text1"/>
          <w:szCs w:val="22"/>
        </w:rPr>
      </w:pPr>
      <w:bookmarkStart w:id="3" w:name="P199"/>
      <w:bookmarkEnd w:id="3"/>
      <w:r w:rsidRPr="008D394A">
        <w:rPr>
          <w:rFonts w:ascii="Times New Roman" w:hAnsi="Times New Roman" w:cs="Times New Roman"/>
          <w:color w:val="000000" w:themeColor="text1"/>
          <w:szCs w:val="22"/>
        </w:rPr>
        <w:t>Прогноз основных характеристик бюджета Ханты-Мансийского</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автономного округа - Югры, </w:t>
      </w:r>
      <w:proofErr w:type="gramStart"/>
      <w:r w:rsidRPr="008D394A">
        <w:rPr>
          <w:rFonts w:ascii="Times New Roman" w:hAnsi="Times New Roman" w:cs="Times New Roman"/>
          <w:color w:val="000000" w:themeColor="text1"/>
          <w:szCs w:val="22"/>
        </w:rPr>
        <w:t>основанный</w:t>
      </w:r>
      <w:proofErr w:type="gramEnd"/>
      <w:r w:rsidRPr="008D394A">
        <w:rPr>
          <w:rFonts w:ascii="Times New Roman" w:hAnsi="Times New Roman" w:cs="Times New Roman"/>
          <w:color w:val="000000" w:themeColor="text1"/>
          <w:szCs w:val="22"/>
        </w:rPr>
        <w:t xml:space="preserve"> на целевом варианте</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социально-экономического развития Ханты-Мансийского</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автономного округа - Югры, показатели </w:t>
      </w:r>
      <w:proofErr w:type="gramStart"/>
      <w:r w:rsidRPr="008D394A">
        <w:rPr>
          <w:rFonts w:ascii="Times New Roman" w:hAnsi="Times New Roman" w:cs="Times New Roman"/>
          <w:color w:val="000000" w:themeColor="text1"/>
          <w:szCs w:val="22"/>
        </w:rPr>
        <w:t>финансового</w:t>
      </w:r>
      <w:proofErr w:type="gramEnd"/>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обеспечения государственных программ Ханты-Мансийского</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автономного округа - Югры, прогноз расходов бюджета</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Ханты-Мансийского автономного округа - Югры на осуществление</w:t>
      </w:r>
    </w:p>
    <w:p w:rsidR="007F0DF5" w:rsidRPr="008D394A" w:rsidRDefault="007F0DF5" w:rsidP="008D394A">
      <w:pPr>
        <w:pStyle w:val="ConsPlusTitle"/>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непрограммных направлений деятельности</w:t>
      </w:r>
    </w:p>
    <w:p w:rsidR="007F0DF5" w:rsidRPr="008D394A" w:rsidRDefault="007F0DF5" w:rsidP="008D394A">
      <w:pPr>
        <w:pStyle w:val="ConsPlusNormal"/>
        <w:contextualSpacing/>
        <w:jc w:val="both"/>
        <w:rPr>
          <w:rFonts w:ascii="Times New Roman" w:hAnsi="Times New Roman" w:cs="Times New Roman"/>
          <w:color w:val="000000" w:themeColor="text1"/>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737"/>
        <w:gridCol w:w="680"/>
        <w:gridCol w:w="680"/>
        <w:gridCol w:w="737"/>
        <w:gridCol w:w="680"/>
        <w:gridCol w:w="737"/>
        <w:gridCol w:w="680"/>
        <w:gridCol w:w="850"/>
        <w:gridCol w:w="850"/>
      </w:tblGrid>
      <w:tr w:rsidR="007F0DF5" w:rsidRPr="008D394A">
        <w:tc>
          <w:tcPr>
            <w:tcW w:w="2381" w:type="dxa"/>
            <w:vAlign w:val="center"/>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Наименование показателя</w:t>
            </w:r>
          </w:p>
        </w:tc>
        <w:tc>
          <w:tcPr>
            <w:tcW w:w="737" w:type="dxa"/>
            <w:vAlign w:val="center"/>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2019 год</w:t>
            </w:r>
          </w:p>
        </w:tc>
        <w:tc>
          <w:tcPr>
            <w:tcW w:w="680" w:type="dxa"/>
            <w:vAlign w:val="center"/>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2020 год</w:t>
            </w:r>
          </w:p>
        </w:tc>
        <w:tc>
          <w:tcPr>
            <w:tcW w:w="680" w:type="dxa"/>
            <w:vAlign w:val="center"/>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2021 год</w:t>
            </w:r>
          </w:p>
        </w:tc>
        <w:tc>
          <w:tcPr>
            <w:tcW w:w="737" w:type="dxa"/>
            <w:vAlign w:val="center"/>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2022 год</w:t>
            </w:r>
          </w:p>
        </w:tc>
        <w:tc>
          <w:tcPr>
            <w:tcW w:w="680" w:type="dxa"/>
            <w:vAlign w:val="center"/>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2023 год</w:t>
            </w:r>
          </w:p>
        </w:tc>
        <w:tc>
          <w:tcPr>
            <w:tcW w:w="737" w:type="dxa"/>
            <w:vAlign w:val="center"/>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2024 год</w:t>
            </w:r>
          </w:p>
        </w:tc>
        <w:tc>
          <w:tcPr>
            <w:tcW w:w="680" w:type="dxa"/>
            <w:vAlign w:val="center"/>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2025 год</w:t>
            </w:r>
          </w:p>
        </w:tc>
        <w:tc>
          <w:tcPr>
            <w:tcW w:w="850" w:type="dxa"/>
            <w:vAlign w:val="center"/>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2026 - 2030 годы</w:t>
            </w:r>
          </w:p>
        </w:tc>
        <w:tc>
          <w:tcPr>
            <w:tcW w:w="850" w:type="dxa"/>
            <w:vAlign w:val="center"/>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2031 - 2036 годы</w:t>
            </w:r>
          </w:p>
        </w:tc>
      </w:tr>
      <w:tr w:rsidR="007F0DF5" w:rsidRPr="008D394A">
        <w:tc>
          <w:tcPr>
            <w:tcW w:w="2381" w:type="dxa"/>
            <w:vAlign w:val="bottom"/>
          </w:tcPr>
          <w:p w:rsidR="007F0DF5" w:rsidRPr="008D394A" w:rsidRDefault="007F0DF5" w:rsidP="008D394A">
            <w:pPr>
              <w:pStyle w:val="ConsPlusNormal"/>
              <w:contextualSpacing/>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Доходы бюджета автономного округа, млрд. руб.</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202,0</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202,4</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203,3</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204,5</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205,3</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206,7</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207,7</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1080,8</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1422,5</w:t>
            </w:r>
          </w:p>
        </w:tc>
      </w:tr>
      <w:tr w:rsidR="007F0DF5" w:rsidRPr="008D394A">
        <w:tc>
          <w:tcPr>
            <w:tcW w:w="2381" w:type="dxa"/>
            <w:vAlign w:val="bottom"/>
          </w:tcPr>
          <w:p w:rsidR="007F0DF5" w:rsidRPr="008D394A" w:rsidRDefault="007F0DF5" w:rsidP="008D394A">
            <w:pPr>
              <w:pStyle w:val="ConsPlusNormal"/>
              <w:contextualSpacing/>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Расходы бюджета автономного округа, млрд. руб.</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221,7</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217,7</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221,3</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215,7</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214,9</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213,8</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212,1</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1036,4</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1270,5</w:t>
            </w:r>
          </w:p>
        </w:tc>
      </w:tr>
      <w:tr w:rsidR="007F0DF5" w:rsidRPr="008D394A">
        <w:tc>
          <w:tcPr>
            <w:tcW w:w="2381" w:type="dxa"/>
            <w:vAlign w:val="bottom"/>
          </w:tcPr>
          <w:p w:rsidR="007F0DF5" w:rsidRPr="008D394A" w:rsidRDefault="007F0DF5" w:rsidP="008D394A">
            <w:pPr>
              <w:pStyle w:val="ConsPlusNormal"/>
              <w:contextualSpacing/>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Расходы на непрограммную деятельность, млрд. руб.</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2,4</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2,5</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2,6</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5,3</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4,5</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4,2</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4,2</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22,4</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53,7</w:t>
            </w:r>
          </w:p>
        </w:tc>
      </w:tr>
      <w:tr w:rsidR="007F0DF5" w:rsidRPr="008D394A">
        <w:tc>
          <w:tcPr>
            <w:tcW w:w="2381" w:type="dxa"/>
            <w:vAlign w:val="bottom"/>
          </w:tcPr>
          <w:p w:rsidR="007F0DF5" w:rsidRPr="008D394A" w:rsidRDefault="007F0DF5" w:rsidP="008D394A">
            <w:pPr>
              <w:pStyle w:val="ConsPlusNormal"/>
              <w:contextualSpacing/>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Программно-целевые расходы автономного округа, млрд. руб.</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219,3</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215,2</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218,7</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210,4</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210,4</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209,6</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207,9</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1014,0</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1216,8</w:t>
            </w:r>
          </w:p>
        </w:tc>
      </w:tr>
      <w:tr w:rsidR="007F0DF5" w:rsidRPr="008D394A">
        <w:tc>
          <w:tcPr>
            <w:tcW w:w="2381" w:type="dxa"/>
          </w:tcPr>
          <w:p w:rsidR="007F0DF5" w:rsidRPr="008D394A" w:rsidRDefault="007F0DF5" w:rsidP="008D394A">
            <w:pPr>
              <w:pStyle w:val="ConsPlusNormal"/>
              <w:contextualSpacing/>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Дефицит (профицит) бюджета автономного округа, млрд. руб.</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-19,7</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-15,3</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-18,0</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-11,2</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-9,6</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-7,1</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-4,4</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+44,4</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+152,0</w:t>
            </w:r>
          </w:p>
        </w:tc>
      </w:tr>
      <w:tr w:rsidR="007F0DF5" w:rsidRPr="008D394A">
        <w:tc>
          <w:tcPr>
            <w:tcW w:w="2381" w:type="dxa"/>
          </w:tcPr>
          <w:p w:rsidR="007F0DF5" w:rsidRPr="008D394A" w:rsidRDefault="007F0DF5" w:rsidP="008D394A">
            <w:pPr>
              <w:pStyle w:val="ConsPlusNormal"/>
              <w:contextualSpacing/>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Государственный долг автономного округа, млрд. руб.</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14,0</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11,2</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27,3</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38,4</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48,7</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54,7</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58,6</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16,0</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0,0</w:t>
            </w:r>
          </w:p>
        </w:tc>
      </w:tr>
      <w:tr w:rsidR="007F0DF5" w:rsidRPr="008D394A">
        <w:tc>
          <w:tcPr>
            <w:tcW w:w="2381" w:type="dxa"/>
          </w:tcPr>
          <w:p w:rsidR="007F0DF5" w:rsidRPr="008D394A" w:rsidRDefault="007F0DF5" w:rsidP="008D394A">
            <w:pPr>
              <w:pStyle w:val="ConsPlusNormal"/>
              <w:contextualSpacing/>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Государственный долг автономного округа, % от ВРП</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0,4</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0,3</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0,7</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0,9</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1,1</w:t>
            </w:r>
          </w:p>
        </w:tc>
        <w:tc>
          <w:tcPr>
            <w:tcW w:w="737"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1,2</w:t>
            </w:r>
          </w:p>
        </w:tc>
        <w:tc>
          <w:tcPr>
            <w:tcW w:w="68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1,3</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0,3</w:t>
            </w:r>
          </w:p>
        </w:tc>
        <w:tc>
          <w:tcPr>
            <w:tcW w:w="850" w:type="dxa"/>
          </w:tcPr>
          <w:p w:rsidR="007F0DF5" w:rsidRPr="008D394A" w:rsidRDefault="007F0DF5" w:rsidP="008D394A">
            <w:pPr>
              <w:pStyle w:val="ConsPlusNormal"/>
              <w:contextualSpacing/>
              <w:jc w:val="center"/>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0,0</w:t>
            </w:r>
          </w:p>
        </w:tc>
      </w:tr>
    </w:tbl>
    <w:p w:rsidR="007F0DF5" w:rsidRPr="008D394A" w:rsidRDefault="007F0DF5" w:rsidP="008D394A">
      <w:pPr>
        <w:pStyle w:val="ConsPlusNormal"/>
        <w:contextualSpacing/>
        <w:jc w:val="both"/>
        <w:rPr>
          <w:rFonts w:ascii="Times New Roman" w:hAnsi="Times New Roman" w:cs="Times New Roman"/>
          <w:color w:val="000000" w:themeColor="text1"/>
          <w:szCs w:val="22"/>
        </w:rPr>
      </w:pPr>
    </w:p>
    <w:p w:rsidR="006851B1" w:rsidRPr="002F2DCD" w:rsidRDefault="006851B1" w:rsidP="008D394A">
      <w:pPr>
        <w:pStyle w:val="ConsPlusNormal"/>
        <w:contextualSpacing/>
        <w:jc w:val="right"/>
        <w:outlineLvl w:val="2"/>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Таблица 3</w:t>
      </w:r>
    </w:p>
    <w:p w:rsidR="006851B1" w:rsidRPr="002F2DCD" w:rsidRDefault="006851B1" w:rsidP="008D394A">
      <w:pPr>
        <w:pStyle w:val="ConsPlusNormal"/>
        <w:contextualSpacing/>
        <w:jc w:val="both"/>
        <w:rPr>
          <w:rFonts w:ascii="Times New Roman" w:hAnsi="Times New Roman" w:cs="Times New Roman"/>
          <w:color w:val="000000" w:themeColor="text1"/>
          <w:szCs w:val="22"/>
        </w:rPr>
      </w:pPr>
    </w:p>
    <w:p w:rsidR="006851B1" w:rsidRPr="002F2DCD" w:rsidRDefault="006851B1" w:rsidP="008D394A">
      <w:pPr>
        <w:pStyle w:val="ConsPlusTitle"/>
        <w:contextualSpacing/>
        <w:jc w:val="center"/>
        <w:rPr>
          <w:rFonts w:ascii="Times New Roman" w:hAnsi="Times New Roman" w:cs="Times New Roman"/>
          <w:color w:val="000000" w:themeColor="text1"/>
          <w:szCs w:val="22"/>
        </w:rPr>
      </w:pPr>
      <w:bookmarkStart w:id="4" w:name="P291"/>
      <w:bookmarkEnd w:id="4"/>
      <w:r w:rsidRPr="002F2DCD">
        <w:rPr>
          <w:rFonts w:ascii="Times New Roman" w:hAnsi="Times New Roman" w:cs="Times New Roman"/>
          <w:color w:val="000000" w:themeColor="text1"/>
          <w:szCs w:val="22"/>
        </w:rPr>
        <w:t xml:space="preserve">Прогноз основных характеристик </w:t>
      </w:r>
      <w:proofErr w:type="gramStart"/>
      <w:r w:rsidRPr="002F2DCD">
        <w:rPr>
          <w:rFonts w:ascii="Times New Roman" w:hAnsi="Times New Roman" w:cs="Times New Roman"/>
          <w:color w:val="000000" w:themeColor="text1"/>
          <w:szCs w:val="22"/>
        </w:rPr>
        <w:t>консолидированного</w:t>
      </w:r>
      <w:proofErr w:type="gramEnd"/>
      <w:r w:rsidRPr="002F2DCD">
        <w:rPr>
          <w:rFonts w:ascii="Times New Roman" w:hAnsi="Times New Roman" w:cs="Times New Roman"/>
          <w:color w:val="000000" w:themeColor="text1"/>
          <w:szCs w:val="22"/>
        </w:rPr>
        <w:t xml:space="preserve"> бюджета</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Ханты-Мансийского автономного округа - Югры, основанный</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 xml:space="preserve">на базовом варианте </w:t>
      </w:r>
      <w:proofErr w:type="gramStart"/>
      <w:r w:rsidRPr="002F2DCD">
        <w:rPr>
          <w:rFonts w:ascii="Times New Roman" w:hAnsi="Times New Roman" w:cs="Times New Roman"/>
          <w:color w:val="000000" w:themeColor="text1"/>
          <w:szCs w:val="22"/>
        </w:rPr>
        <w:t>социально-экономического</w:t>
      </w:r>
      <w:proofErr w:type="gramEnd"/>
      <w:r w:rsidRPr="002F2DCD">
        <w:rPr>
          <w:rFonts w:ascii="Times New Roman" w:hAnsi="Times New Roman" w:cs="Times New Roman"/>
          <w:color w:val="000000" w:themeColor="text1"/>
          <w:szCs w:val="22"/>
        </w:rPr>
        <w:t xml:space="preserve"> развития</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Ханты-Мансийского автономного округа - Югры</w:t>
      </w:r>
    </w:p>
    <w:p w:rsidR="006851B1" w:rsidRPr="002F2DCD" w:rsidRDefault="006851B1" w:rsidP="008D394A">
      <w:pPr>
        <w:pStyle w:val="ConsPlusNormal"/>
        <w:contextualSpacing/>
        <w:jc w:val="both"/>
        <w:rPr>
          <w:rFonts w:ascii="Times New Roman" w:hAnsi="Times New Roman" w:cs="Times New Roman"/>
          <w:color w:val="000000" w:themeColor="text1"/>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737"/>
        <w:gridCol w:w="680"/>
        <w:gridCol w:w="680"/>
        <w:gridCol w:w="737"/>
        <w:gridCol w:w="659"/>
        <w:gridCol w:w="758"/>
        <w:gridCol w:w="680"/>
        <w:gridCol w:w="850"/>
        <w:gridCol w:w="850"/>
      </w:tblGrid>
      <w:tr w:rsidR="006851B1" w:rsidRPr="002F2DCD" w:rsidTr="008444CC">
        <w:tc>
          <w:tcPr>
            <w:tcW w:w="2381"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Наименование показателя</w:t>
            </w:r>
          </w:p>
        </w:tc>
        <w:tc>
          <w:tcPr>
            <w:tcW w:w="737"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2019 год</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2020 год</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2021 год</w:t>
            </w:r>
          </w:p>
        </w:tc>
        <w:tc>
          <w:tcPr>
            <w:tcW w:w="737"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2022 год</w:t>
            </w:r>
          </w:p>
        </w:tc>
        <w:tc>
          <w:tcPr>
            <w:tcW w:w="659"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2023 год</w:t>
            </w:r>
          </w:p>
        </w:tc>
        <w:tc>
          <w:tcPr>
            <w:tcW w:w="758"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2024 год</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2025 год</w:t>
            </w:r>
          </w:p>
        </w:tc>
        <w:tc>
          <w:tcPr>
            <w:tcW w:w="85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2026 - 2030 годы</w:t>
            </w:r>
          </w:p>
        </w:tc>
        <w:tc>
          <w:tcPr>
            <w:tcW w:w="85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2031 - 2036 годы</w:t>
            </w:r>
          </w:p>
        </w:tc>
      </w:tr>
      <w:tr w:rsidR="006851B1" w:rsidRPr="002F2DCD" w:rsidTr="008444CC">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Доходы консолидированного бюджета, млрд. руб.</w:t>
            </w:r>
          </w:p>
        </w:tc>
        <w:tc>
          <w:tcPr>
            <w:tcW w:w="737"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294,4</w:t>
            </w:r>
          </w:p>
        </w:tc>
        <w:tc>
          <w:tcPr>
            <w:tcW w:w="680"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270,8</w:t>
            </w:r>
          </w:p>
        </w:tc>
        <w:tc>
          <w:tcPr>
            <w:tcW w:w="680"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277,1</w:t>
            </w:r>
          </w:p>
        </w:tc>
        <w:tc>
          <w:tcPr>
            <w:tcW w:w="737"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283,8</w:t>
            </w:r>
          </w:p>
        </w:tc>
        <w:tc>
          <w:tcPr>
            <w:tcW w:w="659"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275,5</w:t>
            </w:r>
          </w:p>
        </w:tc>
        <w:tc>
          <w:tcPr>
            <w:tcW w:w="758"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277,6</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269,0</w:t>
            </w:r>
          </w:p>
        </w:tc>
        <w:tc>
          <w:tcPr>
            <w:tcW w:w="850" w:type="dxa"/>
          </w:tcPr>
          <w:p w:rsidR="006851B1" w:rsidRPr="002F2DCD" w:rsidRDefault="009932A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1419,1</w:t>
            </w:r>
          </w:p>
        </w:tc>
        <w:tc>
          <w:tcPr>
            <w:tcW w:w="850" w:type="dxa"/>
          </w:tcPr>
          <w:p w:rsidR="006851B1" w:rsidRPr="002F2DCD" w:rsidRDefault="009932A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1902,8</w:t>
            </w:r>
          </w:p>
        </w:tc>
      </w:tr>
      <w:tr w:rsidR="006851B1" w:rsidRPr="002F2DCD" w:rsidTr="008444CC">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Расходы консолидированного бюджета, млрд. руб.</w:t>
            </w:r>
          </w:p>
        </w:tc>
        <w:tc>
          <w:tcPr>
            <w:tcW w:w="737"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328,5</w:t>
            </w:r>
          </w:p>
        </w:tc>
        <w:tc>
          <w:tcPr>
            <w:tcW w:w="680"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310,7</w:t>
            </w:r>
          </w:p>
        </w:tc>
        <w:tc>
          <w:tcPr>
            <w:tcW w:w="680"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310,5</w:t>
            </w:r>
          </w:p>
        </w:tc>
        <w:tc>
          <w:tcPr>
            <w:tcW w:w="737"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317,5</w:t>
            </w:r>
          </w:p>
        </w:tc>
        <w:tc>
          <w:tcPr>
            <w:tcW w:w="659"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290,4</w:t>
            </w:r>
          </w:p>
        </w:tc>
        <w:tc>
          <w:tcPr>
            <w:tcW w:w="758"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291,1</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279,1</w:t>
            </w:r>
          </w:p>
        </w:tc>
        <w:tc>
          <w:tcPr>
            <w:tcW w:w="850" w:type="dxa"/>
          </w:tcPr>
          <w:p w:rsidR="006851B1" w:rsidRPr="002F2DCD" w:rsidRDefault="009932A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1405,0</w:t>
            </w:r>
          </w:p>
        </w:tc>
        <w:tc>
          <w:tcPr>
            <w:tcW w:w="850" w:type="dxa"/>
          </w:tcPr>
          <w:p w:rsidR="006851B1" w:rsidRPr="002F2DCD" w:rsidRDefault="009932A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1794,7</w:t>
            </w:r>
          </w:p>
        </w:tc>
      </w:tr>
      <w:tr w:rsidR="006851B1" w:rsidRPr="002F2DCD" w:rsidTr="008444CC">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Дефицит (профицит) консолидированного бюджета, млрд. руб.</w:t>
            </w:r>
          </w:p>
        </w:tc>
        <w:tc>
          <w:tcPr>
            <w:tcW w:w="737"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-34,1</w:t>
            </w:r>
          </w:p>
        </w:tc>
        <w:tc>
          <w:tcPr>
            <w:tcW w:w="680"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-39,9</w:t>
            </w:r>
          </w:p>
        </w:tc>
        <w:tc>
          <w:tcPr>
            <w:tcW w:w="680"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-33,4</w:t>
            </w:r>
          </w:p>
        </w:tc>
        <w:tc>
          <w:tcPr>
            <w:tcW w:w="737"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-33,7</w:t>
            </w:r>
          </w:p>
        </w:tc>
        <w:tc>
          <w:tcPr>
            <w:tcW w:w="659"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-14,9</w:t>
            </w:r>
          </w:p>
        </w:tc>
        <w:tc>
          <w:tcPr>
            <w:tcW w:w="758"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-13,6</w:t>
            </w:r>
          </w:p>
          <w:p w:rsidR="00963428" w:rsidRPr="002F2DCD" w:rsidRDefault="00963428" w:rsidP="008D394A">
            <w:pPr>
              <w:pStyle w:val="ConsPlusNormal"/>
              <w:contextualSpacing/>
              <w:jc w:val="center"/>
              <w:rPr>
                <w:rFonts w:ascii="Times New Roman" w:hAnsi="Times New Roman" w:cs="Times New Roman"/>
                <w:b/>
                <w:color w:val="000000" w:themeColor="text1"/>
                <w:szCs w:val="22"/>
              </w:rPr>
            </w:pP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-10,1</w:t>
            </w:r>
          </w:p>
        </w:tc>
        <w:tc>
          <w:tcPr>
            <w:tcW w:w="85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+14,1</w:t>
            </w:r>
          </w:p>
        </w:tc>
        <w:tc>
          <w:tcPr>
            <w:tcW w:w="85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+108,1</w:t>
            </w:r>
          </w:p>
        </w:tc>
      </w:tr>
      <w:tr w:rsidR="006851B1" w:rsidRPr="002F2DCD" w:rsidTr="008444CC">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lastRenderedPageBreak/>
              <w:t>Государственный и муниципальный долг, млрд. руб.</w:t>
            </w:r>
          </w:p>
        </w:tc>
        <w:tc>
          <w:tcPr>
            <w:tcW w:w="737" w:type="dxa"/>
          </w:tcPr>
          <w:p w:rsidR="006851B1"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19,0</w:t>
            </w:r>
          </w:p>
        </w:tc>
        <w:tc>
          <w:tcPr>
            <w:tcW w:w="680" w:type="dxa"/>
          </w:tcPr>
          <w:p w:rsidR="006851B1"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34,8</w:t>
            </w:r>
          </w:p>
        </w:tc>
        <w:tc>
          <w:tcPr>
            <w:tcW w:w="680" w:type="dxa"/>
          </w:tcPr>
          <w:p w:rsidR="006851B1"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64,7</w:t>
            </w:r>
          </w:p>
        </w:tc>
        <w:tc>
          <w:tcPr>
            <w:tcW w:w="737" w:type="dxa"/>
          </w:tcPr>
          <w:p w:rsidR="006851B1"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93,8</w:t>
            </w:r>
          </w:p>
        </w:tc>
        <w:tc>
          <w:tcPr>
            <w:tcW w:w="659" w:type="dxa"/>
          </w:tcPr>
          <w:p w:rsidR="006851B1"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105,0</w:t>
            </w:r>
          </w:p>
        </w:tc>
        <w:tc>
          <w:tcPr>
            <w:tcW w:w="758" w:type="dxa"/>
          </w:tcPr>
          <w:p w:rsidR="006851B1"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114,3</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67,8</w:t>
            </w:r>
          </w:p>
        </w:tc>
        <w:tc>
          <w:tcPr>
            <w:tcW w:w="85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27,6</w:t>
            </w:r>
          </w:p>
        </w:tc>
        <w:tc>
          <w:tcPr>
            <w:tcW w:w="85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0,0</w:t>
            </w:r>
          </w:p>
        </w:tc>
      </w:tr>
      <w:tr w:rsidR="006851B1" w:rsidRPr="002F2DCD" w:rsidTr="008444CC">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Государственный и муниципальный долг, % от ВРП</w:t>
            </w:r>
          </w:p>
        </w:tc>
        <w:tc>
          <w:tcPr>
            <w:tcW w:w="737" w:type="dxa"/>
          </w:tcPr>
          <w:p w:rsidR="006851B1"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0,5</w:t>
            </w:r>
          </w:p>
        </w:tc>
        <w:tc>
          <w:tcPr>
            <w:tcW w:w="680" w:type="dxa"/>
          </w:tcPr>
          <w:p w:rsidR="006851B1"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0,9</w:t>
            </w:r>
          </w:p>
        </w:tc>
        <w:tc>
          <w:tcPr>
            <w:tcW w:w="680" w:type="dxa"/>
          </w:tcPr>
          <w:p w:rsidR="006851B1"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1,6</w:t>
            </w:r>
          </w:p>
        </w:tc>
        <w:tc>
          <w:tcPr>
            <w:tcW w:w="737" w:type="dxa"/>
          </w:tcPr>
          <w:p w:rsidR="006851B1"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2,2</w:t>
            </w:r>
          </w:p>
        </w:tc>
        <w:tc>
          <w:tcPr>
            <w:tcW w:w="659" w:type="dxa"/>
          </w:tcPr>
          <w:p w:rsidR="006851B1"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2,4</w:t>
            </w:r>
          </w:p>
        </w:tc>
        <w:tc>
          <w:tcPr>
            <w:tcW w:w="758" w:type="dxa"/>
          </w:tcPr>
          <w:p w:rsidR="006851B1"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2,5</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1,5</w:t>
            </w:r>
          </w:p>
        </w:tc>
        <w:tc>
          <w:tcPr>
            <w:tcW w:w="85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0,6</w:t>
            </w:r>
          </w:p>
        </w:tc>
        <w:tc>
          <w:tcPr>
            <w:tcW w:w="85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0,0</w:t>
            </w:r>
          </w:p>
        </w:tc>
      </w:tr>
    </w:tbl>
    <w:p w:rsidR="006851B1" w:rsidRPr="008D394A" w:rsidRDefault="006851B1" w:rsidP="008D394A">
      <w:pPr>
        <w:pStyle w:val="ConsPlusNormal"/>
        <w:contextualSpacing/>
        <w:jc w:val="both"/>
        <w:rPr>
          <w:rFonts w:ascii="Times New Roman" w:hAnsi="Times New Roman" w:cs="Times New Roman"/>
          <w:color w:val="000000" w:themeColor="text1"/>
          <w:szCs w:val="22"/>
        </w:rPr>
      </w:pPr>
    </w:p>
    <w:p w:rsidR="006851B1" w:rsidRPr="008D394A" w:rsidRDefault="006851B1" w:rsidP="008D394A">
      <w:pPr>
        <w:pStyle w:val="ConsPlusNormal"/>
        <w:contextualSpacing/>
        <w:jc w:val="right"/>
        <w:outlineLvl w:val="2"/>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Таблица 4</w:t>
      </w:r>
    </w:p>
    <w:p w:rsidR="006851B1" w:rsidRPr="008D394A" w:rsidRDefault="006851B1" w:rsidP="008D394A">
      <w:pPr>
        <w:pStyle w:val="ConsPlusNormal"/>
        <w:contextualSpacing/>
        <w:jc w:val="both"/>
        <w:rPr>
          <w:rFonts w:ascii="Times New Roman" w:hAnsi="Times New Roman" w:cs="Times New Roman"/>
          <w:color w:val="000000" w:themeColor="text1"/>
          <w:szCs w:val="22"/>
        </w:rPr>
      </w:pPr>
    </w:p>
    <w:p w:rsidR="006851B1" w:rsidRPr="002F2DCD" w:rsidRDefault="006851B1" w:rsidP="008D394A">
      <w:pPr>
        <w:pStyle w:val="ConsPlusTitle"/>
        <w:contextualSpacing/>
        <w:jc w:val="center"/>
        <w:rPr>
          <w:rFonts w:ascii="Times New Roman" w:hAnsi="Times New Roman" w:cs="Times New Roman"/>
          <w:color w:val="000000" w:themeColor="text1"/>
          <w:szCs w:val="22"/>
        </w:rPr>
      </w:pPr>
      <w:bookmarkStart w:id="5" w:name="P359"/>
      <w:bookmarkEnd w:id="5"/>
      <w:r w:rsidRPr="008D394A">
        <w:rPr>
          <w:rFonts w:ascii="Times New Roman" w:hAnsi="Times New Roman" w:cs="Times New Roman"/>
          <w:color w:val="000000" w:themeColor="text1"/>
          <w:szCs w:val="22"/>
        </w:rPr>
        <w:t xml:space="preserve">Прогноз основных </w:t>
      </w:r>
      <w:r w:rsidRPr="002F2DCD">
        <w:rPr>
          <w:rFonts w:ascii="Times New Roman" w:hAnsi="Times New Roman" w:cs="Times New Roman"/>
          <w:color w:val="000000" w:themeColor="text1"/>
          <w:szCs w:val="22"/>
        </w:rPr>
        <w:t>характеристик бюджета Ханты-Мансийского</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 xml:space="preserve">автономного округа - Югры, </w:t>
      </w:r>
      <w:proofErr w:type="gramStart"/>
      <w:r w:rsidRPr="002F2DCD">
        <w:rPr>
          <w:rFonts w:ascii="Times New Roman" w:hAnsi="Times New Roman" w:cs="Times New Roman"/>
          <w:color w:val="000000" w:themeColor="text1"/>
          <w:szCs w:val="22"/>
        </w:rPr>
        <w:t>основанный</w:t>
      </w:r>
      <w:proofErr w:type="gramEnd"/>
      <w:r w:rsidRPr="002F2DCD">
        <w:rPr>
          <w:rFonts w:ascii="Times New Roman" w:hAnsi="Times New Roman" w:cs="Times New Roman"/>
          <w:color w:val="000000" w:themeColor="text1"/>
          <w:szCs w:val="22"/>
        </w:rPr>
        <w:t xml:space="preserve"> на базовом варианте</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социально-экономического развития Ханты-Мансийского</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 xml:space="preserve">автономного округа - Югры, показатели </w:t>
      </w:r>
      <w:proofErr w:type="gramStart"/>
      <w:r w:rsidRPr="002F2DCD">
        <w:rPr>
          <w:rFonts w:ascii="Times New Roman" w:hAnsi="Times New Roman" w:cs="Times New Roman"/>
          <w:color w:val="000000" w:themeColor="text1"/>
          <w:szCs w:val="22"/>
        </w:rPr>
        <w:t>финансового</w:t>
      </w:r>
      <w:proofErr w:type="gramEnd"/>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обеспечения государственных программ Ханты-Мансийского</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автономного округа - Югры, прогноз расходов бюджета</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Ханты-Мансийского автономного округа - Югры на осуществление</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непрограммных направлений деятельности</w:t>
      </w:r>
    </w:p>
    <w:p w:rsidR="006851B1" w:rsidRPr="002F2DCD" w:rsidRDefault="006851B1" w:rsidP="008D394A">
      <w:pPr>
        <w:pStyle w:val="ConsPlusNormal"/>
        <w:contextualSpacing/>
        <w:jc w:val="both"/>
        <w:rPr>
          <w:rFonts w:ascii="Times New Roman" w:hAnsi="Times New Roman" w:cs="Times New Roman"/>
          <w:color w:val="000000" w:themeColor="text1"/>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737"/>
        <w:gridCol w:w="680"/>
        <w:gridCol w:w="680"/>
        <w:gridCol w:w="737"/>
        <w:gridCol w:w="680"/>
        <w:gridCol w:w="737"/>
        <w:gridCol w:w="680"/>
        <w:gridCol w:w="850"/>
        <w:gridCol w:w="850"/>
      </w:tblGrid>
      <w:tr w:rsidR="006851B1" w:rsidRPr="002F2DCD" w:rsidTr="006851B1">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Наименование показателя</w:t>
            </w:r>
          </w:p>
        </w:tc>
        <w:tc>
          <w:tcPr>
            <w:tcW w:w="737"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2019 год</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2020 год</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2021 год</w:t>
            </w:r>
          </w:p>
        </w:tc>
        <w:tc>
          <w:tcPr>
            <w:tcW w:w="737"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2022 год</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2023 год</w:t>
            </w:r>
          </w:p>
        </w:tc>
        <w:tc>
          <w:tcPr>
            <w:tcW w:w="737"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2024 год</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2025 год</w:t>
            </w:r>
          </w:p>
        </w:tc>
        <w:tc>
          <w:tcPr>
            <w:tcW w:w="85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2026 - 2030 годы</w:t>
            </w:r>
          </w:p>
        </w:tc>
        <w:tc>
          <w:tcPr>
            <w:tcW w:w="85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2031 - 2036 годы</w:t>
            </w:r>
          </w:p>
        </w:tc>
      </w:tr>
      <w:tr w:rsidR="006851B1" w:rsidRPr="002F2DCD" w:rsidTr="006851B1">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Доходы бюджета автономного округа, млрд. руб.</w:t>
            </w:r>
          </w:p>
        </w:tc>
        <w:tc>
          <w:tcPr>
            <w:tcW w:w="737"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237,7</w:t>
            </w:r>
          </w:p>
        </w:tc>
        <w:tc>
          <w:tcPr>
            <w:tcW w:w="680"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213,0</w:t>
            </w:r>
          </w:p>
        </w:tc>
        <w:tc>
          <w:tcPr>
            <w:tcW w:w="680"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219,2</w:t>
            </w:r>
          </w:p>
        </w:tc>
        <w:tc>
          <w:tcPr>
            <w:tcW w:w="737"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224,2</w:t>
            </w:r>
          </w:p>
        </w:tc>
        <w:tc>
          <w:tcPr>
            <w:tcW w:w="680"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214,6</w:t>
            </w:r>
          </w:p>
        </w:tc>
        <w:tc>
          <w:tcPr>
            <w:tcW w:w="737"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215,5</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206,4</w:t>
            </w:r>
          </w:p>
        </w:tc>
        <w:tc>
          <w:tcPr>
            <w:tcW w:w="850" w:type="dxa"/>
          </w:tcPr>
          <w:p w:rsidR="006851B1" w:rsidRPr="002F2DCD" w:rsidRDefault="002F2DCD"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1077,0</w:t>
            </w:r>
          </w:p>
        </w:tc>
        <w:tc>
          <w:tcPr>
            <w:tcW w:w="850" w:type="dxa"/>
          </w:tcPr>
          <w:p w:rsidR="006851B1" w:rsidRPr="002F2DCD" w:rsidRDefault="002F2DCD"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1415,7</w:t>
            </w:r>
          </w:p>
        </w:tc>
      </w:tr>
      <w:tr w:rsidR="006851B1" w:rsidRPr="002F2DCD" w:rsidTr="006851B1">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Расходы бюджета автономного округа, млрд. руб.</w:t>
            </w:r>
          </w:p>
        </w:tc>
        <w:tc>
          <w:tcPr>
            <w:tcW w:w="737"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258,1</w:t>
            </w:r>
          </w:p>
        </w:tc>
        <w:tc>
          <w:tcPr>
            <w:tcW w:w="680"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248,8</w:t>
            </w:r>
          </w:p>
        </w:tc>
        <w:tc>
          <w:tcPr>
            <w:tcW w:w="680"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248,6</w:t>
            </w:r>
          </w:p>
        </w:tc>
        <w:tc>
          <w:tcPr>
            <w:tcW w:w="737"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253,7</w:t>
            </w:r>
          </w:p>
        </w:tc>
        <w:tc>
          <w:tcPr>
            <w:tcW w:w="680"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225,2</w:t>
            </w:r>
          </w:p>
        </w:tc>
        <w:tc>
          <w:tcPr>
            <w:tcW w:w="737"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224,7</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212,1</w:t>
            </w:r>
          </w:p>
        </w:tc>
        <w:tc>
          <w:tcPr>
            <w:tcW w:w="850" w:type="dxa"/>
          </w:tcPr>
          <w:p w:rsidR="006851B1" w:rsidRPr="002F2DCD" w:rsidRDefault="002F2DCD"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1039,1</w:t>
            </w:r>
          </w:p>
        </w:tc>
        <w:tc>
          <w:tcPr>
            <w:tcW w:w="850" w:type="dxa"/>
          </w:tcPr>
          <w:p w:rsidR="006851B1" w:rsidRPr="002F2DCD" w:rsidRDefault="002F2DCD"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1273,8</w:t>
            </w:r>
          </w:p>
        </w:tc>
      </w:tr>
      <w:tr w:rsidR="006851B1" w:rsidRPr="002F2DCD" w:rsidTr="006851B1">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Расходы на непрограммную деятельность, млрд. руб.</w:t>
            </w:r>
          </w:p>
        </w:tc>
        <w:tc>
          <w:tcPr>
            <w:tcW w:w="737" w:type="dxa"/>
          </w:tcPr>
          <w:p w:rsidR="006851B1" w:rsidRPr="002F2DCD" w:rsidRDefault="005E31C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1,7</w:t>
            </w:r>
          </w:p>
        </w:tc>
        <w:tc>
          <w:tcPr>
            <w:tcW w:w="680" w:type="dxa"/>
          </w:tcPr>
          <w:p w:rsidR="006851B1" w:rsidRPr="002F2DCD" w:rsidRDefault="00F5607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1,5</w:t>
            </w:r>
          </w:p>
        </w:tc>
        <w:tc>
          <w:tcPr>
            <w:tcW w:w="680" w:type="dxa"/>
          </w:tcPr>
          <w:p w:rsidR="006851B1" w:rsidRPr="002F2DCD" w:rsidRDefault="00F5607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7,9</w:t>
            </w:r>
          </w:p>
        </w:tc>
        <w:tc>
          <w:tcPr>
            <w:tcW w:w="737" w:type="dxa"/>
          </w:tcPr>
          <w:p w:rsidR="006851B1" w:rsidRPr="002F2DCD" w:rsidRDefault="00F5607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14,2</w:t>
            </w:r>
          </w:p>
        </w:tc>
        <w:tc>
          <w:tcPr>
            <w:tcW w:w="680" w:type="dxa"/>
          </w:tcPr>
          <w:p w:rsidR="006851B1" w:rsidRPr="002F2DCD" w:rsidRDefault="00F5607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7,2</w:t>
            </w:r>
          </w:p>
        </w:tc>
        <w:tc>
          <w:tcPr>
            <w:tcW w:w="737" w:type="dxa"/>
          </w:tcPr>
          <w:p w:rsidR="006851B1" w:rsidRPr="002F2DCD" w:rsidRDefault="00F5607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10,5</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4,2</w:t>
            </w:r>
          </w:p>
        </w:tc>
        <w:tc>
          <w:tcPr>
            <w:tcW w:w="85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22,4</w:t>
            </w:r>
          </w:p>
        </w:tc>
        <w:tc>
          <w:tcPr>
            <w:tcW w:w="85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53,7</w:t>
            </w:r>
          </w:p>
        </w:tc>
      </w:tr>
      <w:tr w:rsidR="006851B1" w:rsidRPr="002F2DCD" w:rsidTr="006851B1">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Программно-целевые расходы автономного округа, млрд. руб.</w:t>
            </w:r>
          </w:p>
        </w:tc>
        <w:tc>
          <w:tcPr>
            <w:tcW w:w="737" w:type="dxa"/>
          </w:tcPr>
          <w:p w:rsidR="006851B1" w:rsidRPr="002F2DCD" w:rsidRDefault="005E31C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256,4</w:t>
            </w:r>
          </w:p>
        </w:tc>
        <w:tc>
          <w:tcPr>
            <w:tcW w:w="680" w:type="dxa"/>
          </w:tcPr>
          <w:p w:rsidR="006851B1" w:rsidRPr="002F2DCD" w:rsidRDefault="00F5607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247,3</w:t>
            </w:r>
          </w:p>
        </w:tc>
        <w:tc>
          <w:tcPr>
            <w:tcW w:w="680" w:type="dxa"/>
          </w:tcPr>
          <w:p w:rsidR="006851B1" w:rsidRPr="002F2DCD" w:rsidRDefault="00F5607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240,7</w:t>
            </w:r>
          </w:p>
        </w:tc>
        <w:tc>
          <w:tcPr>
            <w:tcW w:w="737" w:type="dxa"/>
          </w:tcPr>
          <w:p w:rsidR="006851B1" w:rsidRPr="002F2DCD" w:rsidRDefault="00F5607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239,5</w:t>
            </w:r>
          </w:p>
        </w:tc>
        <w:tc>
          <w:tcPr>
            <w:tcW w:w="680" w:type="dxa"/>
          </w:tcPr>
          <w:p w:rsidR="006851B1" w:rsidRPr="002F2DCD" w:rsidRDefault="00F5607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218,0</w:t>
            </w:r>
          </w:p>
        </w:tc>
        <w:tc>
          <w:tcPr>
            <w:tcW w:w="737" w:type="dxa"/>
          </w:tcPr>
          <w:p w:rsidR="006851B1" w:rsidRPr="002F2DCD" w:rsidRDefault="00F5607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214,2</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207,9</w:t>
            </w:r>
          </w:p>
        </w:tc>
        <w:tc>
          <w:tcPr>
            <w:tcW w:w="850" w:type="dxa"/>
          </w:tcPr>
          <w:p w:rsidR="006851B1" w:rsidRPr="002F2DCD" w:rsidRDefault="002F2DCD"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1016,7</w:t>
            </w:r>
          </w:p>
        </w:tc>
        <w:tc>
          <w:tcPr>
            <w:tcW w:w="850" w:type="dxa"/>
          </w:tcPr>
          <w:p w:rsidR="006851B1" w:rsidRPr="002F2DCD" w:rsidRDefault="002F2DCD"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1220,1</w:t>
            </w:r>
          </w:p>
        </w:tc>
      </w:tr>
      <w:tr w:rsidR="006851B1" w:rsidRPr="002F2DCD" w:rsidTr="006851B1">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Дефицит (профицит) бюджета автономного округа, млрд. руб.</w:t>
            </w:r>
          </w:p>
        </w:tc>
        <w:tc>
          <w:tcPr>
            <w:tcW w:w="737"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-20,4</w:t>
            </w:r>
          </w:p>
        </w:tc>
        <w:tc>
          <w:tcPr>
            <w:tcW w:w="680" w:type="dxa"/>
          </w:tcPr>
          <w:p w:rsidR="006851B1" w:rsidRPr="002F2DCD" w:rsidRDefault="0096342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-35,8</w:t>
            </w:r>
          </w:p>
        </w:tc>
        <w:tc>
          <w:tcPr>
            <w:tcW w:w="680" w:type="dxa"/>
          </w:tcPr>
          <w:p w:rsidR="006851B1" w:rsidRPr="002F2DCD" w:rsidRDefault="00F5607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-29,4</w:t>
            </w:r>
          </w:p>
        </w:tc>
        <w:tc>
          <w:tcPr>
            <w:tcW w:w="737" w:type="dxa"/>
          </w:tcPr>
          <w:p w:rsidR="006851B1" w:rsidRPr="002F2DCD" w:rsidRDefault="00F5607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-29,5</w:t>
            </w:r>
          </w:p>
        </w:tc>
        <w:tc>
          <w:tcPr>
            <w:tcW w:w="680" w:type="dxa"/>
          </w:tcPr>
          <w:p w:rsidR="006851B1" w:rsidRPr="002F2DCD" w:rsidRDefault="00F5607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-10,6</w:t>
            </w:r>
          </w:p>
        </w:tc>
        <w:tc>
          <w:tcPr>
            <w:tcW w:w="737" w:type="dxa"/>
          </w:tcPr>
          <w:p w:rsidR="006851B1" w:rsidRPr="002F2DCD" w:rsidRDefault="00F56078"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-9,2</w:t>
            </w:r>
          </w:p>
        </w:tc>
        <w:tc>
          <w:tcPr>
            <w:tcW w:w="68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-5,7</w:t>
            </w:r>
          </w:p>
        </w:tc>
        <w:tc>
          <w:tcPr>
            <w:tcW w:w="85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+37,9</w:t>
            </w:r>
          </w:p>
        </w:tc>
        <w:tc>
          <w:tcPr>
            <w:tcW w:w="850"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+141,9</w:t>
            </w:r>
          </w:p>
        </w:tc>
      </w:tr>
      <w:tr w:rsidR="00431C9C" w:rsidRPr="002F2DCD" w:rsidTr="006851B1">
        <w:tc>
          <w:tcPr>
            <w:tcW w:w="2381" w:type="dxa"/>
          </w:tcPr>
          <w:p w:rsidR="00431C9C" w:rsidRPr="002F2DCD" w:rsidRDefault="00431C9C"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Государственный долг автономного округа, млрд. руб.</w:t>
            </w:r>
          </w:p>
        </w:tc>
        <w:tc>
          <w:tcPr>
            <w:tcW w:w="737" w:type="dxa"/>
          </w:tcPr>
          <w:p w:rsidR="00431C9C"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w:t>
            </w:r>
            <w:r w:rsidR="00E74ED0" w:rsidRPr="002F2DCD">
              <w:rPr>
                <w:rFonts w:ascii="Times New Roman" w:hAnsi="Times New Roman" w:cs="Times New Roman"/>
                <w:b/>
                <w:color w:val="000000" w:themeColor="text1"/>
                <w:szCs w:val="22"/>
              </w:rPr>
              <w:t>4</w:t>
            </w:r>
            <w:r w:rsidRPr="002F2DCD">
              <w:rPr>
                <w:rFonts w:ascii="Times New Roman" w:hAnsi="Times New Roman" w:cs="Times New Roman"/>
                <w:b/>
                <w:color w:val="000000" w:themeColor="text1"/>
                <w:szCs w:val="22"/>
              </w:rPr>
              <w:t>,0</w:t>
            </w:r>
          </w:p>
        </w:tc>
        <w:tc>
          <w:tcPr>
            <w:tcW w:w="680" w:type="dxa"/>
          </w:tcPr>
          <w:p w:rsidR="00431C9C"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29,2</w:t>
            </w:r>
          </w:p>
        </w:tc>
        <w:tc>
          <w:tcPr>
            <w:tcW w:w="680" w:type="dxa"/>
          </w:tcPr>
          <w:p w:rsidR="00431C9C"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58,3</w:t>
            </w:r>
          </w:p>
        </w:tc>
        <w:tc>
          <w:tcPr>
            <w:tcW w:w="737" w:type="dxa"/>
          </w:tcPr>
          <w:p w:rsidR="00431C9C"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87,4</w:t>
            </w:r>
          </w:p>
        </w:tc>
        <w:tc>
          <w:tcPr>
            <w:tcW w:w="680" w:type="dxa"/>
          </w:tcPr>
          <w:p w:rsidR="00431C9C"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98,2</w:t>
            </w:r>
          </w:p>
        </w:tc>
        <w:tc>
          <w:tcPr>
            <w:tcW w:w="737" w:type="dxa"/>
          </w:tcPr>
          <w:p w:rsidR="00431C9C"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107,3</w:t>
            </w:r>
          </w:p>
        </w:tc>
        <w:tc>
          <w:tcPr>
            <w:tcW w:w="680" w:type="dxa"/>
          </w:tcPr>
          <w:p w:rsidR="00431C9C"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62,6</w:t>
            </w:r>
          </w:p>
        </w:tc>
        <w:tc>
          <w:tcPr>
            <w:tcW w:w="850" w:type="dxa"/>
          </w:tcPr>
          <w:p w:rsidR="00431C9C"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24,2</w:t>
            </w:r>
          </w:p>
        </w:tc>
        <w:tc>
          <w:tcPr>
            <w:tcW w:w="850" w:type="dxa"/>
          </w:tcPr>
          <w:p w:rsidR="00431C9C"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0,0</w:t>
            </w:r>
          </w:p>
        </w:tc>
      </w:tr>
      <w:tr w:rsidR="00431C9C" w:rsidRPr="002F2DCD" w:rsidTr="006851B1">
        <w:trPr>
          <w:trHeight w:val="610"/>
        </w:trPr>
        <w:tc>
          <w:tcPr>
            <w:tcW w:w="2381" w:type="dxa"/>
          </w:tcPr>
          <w:p w:rsidR="00431C9C" w:rsidRPr="002F2DCD" w:rsidRDefault="00431C9C"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Государственный долг автономного округа, % от ВРП</w:t>
            </w:r>
          </w:p>
        </w:tc>
        <w:tc>
          <w:tcPr>
            <w:tcW w:w="737" w:type="dxa"/>
          </w:tcPr>
          <w:p w:rsidR="00431C9C"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0,3</w:t>
            </w:r>
          </w:p>
        </w:tc>
        <w:tc>
          <w:tcPr>
            <w:tcW w:w="680" w:type="dxa"/>
          </w:tcPr>
          <w:p w:rsidR="00431C9C"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0,7</w:t>
            </w:r>
          </w:p>
        </w:tc>
        <w:tc>
          <w:tcPr>
            <w:tcW w:w="680" w:type="dxa"/>
          </w:tcPr>
          <w:p w:rsidR="00431C9C"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1,4</w:t>
            </w:r>
          </w:p>
        </w:tc>
        <w:tc>
          <w:tcPr>
            <w:tcW w:w="737" w:type="dxa"/>
          </w:tcPr>
          <w:p w:rsidR="00431C9C"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w:t>
            </w:r>
          </w:p>
        </w:tc>
        <w:tc>
          <w:tcPr>
            <w:tcW w:w="680" w:type="dxa"/>
          </w:tcPr>
          <w:p w:rsidR="00431C9C"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2,2</w:t>
            </w:r>
          </w:p>
        </w:tc>
        <w:tc>
          <w:tcPr>
            <w:tcW w:w="737" w:type="dxa"/>
          </w:tcPr>
          <w:p w:rsidR="00431C9C" w:rsidRPr="002F2DCD" w:rsidRDefault="00E74ED0"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2,4</w:t>
            </w:r>
          </w:p>
        </w:tc>
        <w:tc>
          <w:tcPr>
            <w:tcW w:w="680" w:type="dxa"/>
          </w:tcPr>
          <w:p w:rsidR="00431C9C"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1,4</w:t>
            </w:r>
          </w:p>
        </w:tc>
        <w:tc>
          <w:tcPr>
            <w:tcW w:w="850" w:type="dxa"/>
          </w:tcPr>
          <w:p w:rsidR="00431C9C"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0,5</w:t>
            </w:r>
          </w:p>
        </w:tc>
        <w:tc>
          <w:tcPr>
            <w:tcW w:w="850" w:type="dxa"/>
          </w:tcPr>
          <w:p w:rsidR="00431C9C"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0,0</w:t>
            </w:r>
          </w:p>
        </w:tc>
      </w:tr>
    </w:tbl>
    <w:p w:rsidR="006851B1" w:rsidRPr="008D394A" w:rsidRDefault="006851B1" w:rsidP="008D394A">
      <w:pPr>
        <w:contextualSpacing/>
        <w:rPr>
          <w:rFonts w:ascii="Times New Roman" w:hAnsi="Times New Roman" w:cs="Times New Roman"/>
          <w:color w:val="000000" w:themeColor="text1"/>
        </w:rPr>
      </w:pPr>
    </w:p>
    <w:p w:rsidR="006851B1" w:rsidRPr="008D394A" w:rsidRDefault="006851B1" w:rsidP="008D394A">
      <w:pPr>
        <w:pStyle w:val="ConsPlusNormal"/>
        <w:contextualSpacing/>
        <w:jc w:val="right"/>
        <w:outlineLvl w:val="2"/>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Таблица </w:t>
      </w:r>
      <w:r w:rsidR="002F2DCD">
        <w:rPr>
          <w:rFonts w:ascii="Times New Roman" w:hAnsi="Times New Roman" w:cs="Times New Roman"/>
          <w:color w:val="000000" w:themeColor="text1"/>
          <w:szCs w:val="22"/>
        </w:rPr>
        <w:t>5</w:t>
      </w:r>
    </w:p>
    <w:p w:rsidR="006851B1" w:rsidRPr="008D394A" w:rsidRDefault="006851B1" w:rsidP="008D394A">
      <w:pPr>
        <w:pStyle w:val="ConsPlusNormal"/>
        <w:contextualSpacing/>
        <w:jc w:val="both"/>
        <w:rPr>
          <w:rFonts w:ascii="Times New Roman" w:hAnsi="Times New Roman" w:cs="Times New Roman"/>
          <w:color w:val="000000" w:themeColor="text1"/>
          <w:szCs w:val="22"/>
        </w:rPr>
      </w:pP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 xml:space="preserve">Прогноз основных характеристик </w:t>
      </w:r>
      <w:proofErr w:type="gramStart"/>
      <w:r w:rsidRPr="002F2DCD">
        <w:rPr>
          <w:rFonts w:ascii="Times New Roman" w:hAnsi="Times New Roman" w:cs="Times New Roman"/>
          <w:color w:val="000000" w:themeColor="text1"/>
          <w:szCs w:val="22"/>
        </w:rPr>
        <w:t>консолидированного</w:t>
      </w:r>
      <w:proofErr w:type="gramEnd"/>
      <w:r w:rsidRPr="002F2DCD">
        <w:rPr>
          <w:rFonts w:ascii="Times New Roman" w:hAnsi="Times New Roman" w:cs="Times New Roman"/>
          <w:color w:val="000000" w:themeColor="text1"/>
          <w:szCs w:val="22"/>
        </w:rPr>
        <w:t xml:space="preserve"> бюджета</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lastRenderedPageBreak/>
        <w:t>Ханты-Мансийского автономного округа - Югры, основанный</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 xml:space="preserve">на консервативном варианте </w:t>
      </w:r>
      <w:proofErr w:type="gramStart"/>
      <w:r w:rsidRPr="002F2DCD">
        <w:rPr>
          <w:rFonts w:ascii="Times New Roman" w:hAnsi="Times New Roman" w:cs="Times New Roman"/>
          <w:color w:val="000000" w:themeColor="text1"/>
          <w:szCs w:val="22"/>
        </w:rPr>
        <w:t>социально-экономического</w:t>
      </w:r>
      <w:proofErr w:type="gramEnd"/>
      <w:r w:rsidRPr="002F2DCD">
        <w:rPr>
          <w:rFonts w:ascii="Times New Roman" w:hAnsi="Times New Roman" w:cs="Times New Roman"/>
          <w:color w:val="000000" w:themeColor="text1"/>
          <w:szCs w:val="22"/>
        </w:rPr>
        <w:t xml:space="preserve"> развития</w:t>
      </w:r>
    </w:p>
    <w:p w:rsidR="006851B1" w:rsidRPr="008D394A"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Ханты-Мансийского автономного округа - Югры</w:t>
      </w:r>
    </w:p>
    <w:p w:rsidR="006851B1" w:rsidRPr="008D394A" w:rsidRDefault="006851B1" w:rsidP="008D394A">
      <w:pPr>
        <w:pStyle w:val="ConsPlusNormal"/>
        <w:contextualSpacing/>
        <w:jc w:val="both"/>
        <w:rPr>
          <w:rFonts w:ascii="Times New Roman" w:hAnsi="Times New Roman" w:cs="Times New Roman"/>
          <w:color w:val="000000" w:themeColor="text1"/>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1225"/>
        <w:gridCol w:w="1276"/>
        <w:gridCol w:w="992"/>
        <w:gridCol w:w="1134"/>
        <w:gridCol w:w="992"/>
        <w:gridCol w:w="993"/>
      </w:tblGrid>
      <w:tr w:rsidR="006851B1" w:rsidRPr="002F2DCD" w:rsidTr="006851B1">
        <w:tc>
          <w:tcPr>
            <w:tcW w:w="2381"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Наименование показателя</w:t>
            </w:r>
          </w:p>
        </w:tc>
        <w:tc>
          <w:tcPr>
            <w:tcW w:w="1225"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2019 год</w:t>
            </w:r>
          </w:p>
        </w:tc>
        <w:tc>
          <w:tcPr>
            <w:tcW w:w="1276"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2020 год</w:t>
            </w:r>
          </w:p>
        </w:tc>
        <w:tc>
          <w:tcPr>
            <w:tcW w:w="992"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2021 год</w:t>
            </w:r>
          </w:p>
        </w:tc>
        <w:tc>
          <w:tcPr>
            <w:tcW w:w="1134"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2022 год</w:t>
            </w:r>
          </w:p>
        </w:tc>
        <w:tc>
          <w:tcPr>
            <w:tcW w:w="992"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2023 год</w:t>
            </w:r>
          </w:p>
        </w:tc>
        <w:tc>
          <w:tcPr>
            <w:tcW w:w="993"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2024 год</w:t>
            </w:r>
          </w:p>
        </w:tc>
      </w:tr>
      <w:tr w:rsidR="006851B1" w:rsidRPr="002F2DCD" w:rsidTr="006851B1">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Доходы консолидированного бюджета, млрд. руб.</w:t>
            </w:r>
          </w:p>
        </w:tc>
        <w:tc>
          <w:tcPr>
            <w:tcW w:w="1225"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294,4</w:t>
            </w:r>
          </w:p>
        </w:tc>
        <w:tc>
          <w:tcPr>
            <w:tcW w:w="1276"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253,9</w:t>
            </w:r>
          </w:p>
        </w:tc>
        <w:tc>
          <w:tcPr>
            <w:tcW w:w="992"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260,9</w:t>
            </w:r>
          </w:p>
        </w:tc>
        <w:tc>
          <w:tcPr>
            <w:tcW w:w="1134"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267,8</w:t>
            </w:r>
          </w:p>
        </w:tc>
        <w:tc>
          <w:tcPr>
            <w:tcW w:w="992"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261,5</w:t>
            </w:r>
          </w:p>
        </w:tc>
        <w:tc>
          <w:tcPr>
            <w:tcW w:w="993"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264,7</w:t>
            </w:r>
          </w:p>
        </w:tc>
      </w:tr>
      <w:tr w:rsidR="006851B1" w:rsidRPr="002F2DCD" w:rsidTr="006851B1">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Расходы консолидированного бюджета, млрд. руб.</w:t>
            </w:r>
          </w:p>
        </w:tc>
        <w:tc>
          <w:tcPr>
            <w:tcW w:w="1225"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328,5</w:t>
            </w:r>
          </w:p>
        </w:tc>
        <w:tc>
          <w:tcPr>
            <w:tcW w:w="1276"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294,8</w:t>
            </w:r>
          </w:p>
        </w:tc>
        <w:tc>
          <w:tcPr>
            <w:tcW w:w="992"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294,6</w:t>
            </w:r>
          </w:p>
        </w:tc>
        <w:tc>
          <w:tcPr>
            <w:tcW w:w="1134"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301,7</w:t>
            </w:r>
          </w:p>
        </w:tc>
        <w:tc>
          <w:tcPr>
            <w:tcW w:w="992"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276,9</w:t>
            </w:r>
          </w:p>
        </w:tc>
        <w:tc>
          <w:tcPr>
            <w:tcW w:w="993"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270,6</w:t>
            </w:r>
          </w:p>
        </w:tc>
      </w:tr>
      <w:tr w:rsidR="006851B1" w:rsidRPr="002F2DCD" w:rsidTr="006851B1">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Дефицит (профицит) консолидированного бюджета, млрд. руб.</w:t>
            </w:r>
          </w:p>
        </w:tc>
        <w:tc>
          <w:tcPr>
            <w:tcW w:w="1225"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-34,1</w:t>
            </w:r>
          </w:p>
        </w:tc>
        <w:tc>
          <w:tcPr>
            <w:tcW w:w="1276"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-40,9</w:t>
            </w:r>
          </w:p>
        </w:tc>
        <w:tc>
          <w:tcPr>
            <w:tcW w:w="992" w:type="dxa"/>
          </w:tcPr>
          <w:p w:rsidR="00AA1F93"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-33,7</w:t>
            </w:r>
          </w:p>
        </w:tc>
        <w:tc>
          <w:tcPr>
            <w:tcW w:w="1134"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-33,9</w:t>
            </w:r>
          </w:p>
        </w:tc>
        <w:tc>
          <w:tcPr>
            <w:tcW w:w="992"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-15,4</w:t>
            </w:r>
          </w:p>
        </w:tc>
        <w:tc>
          <w:tcPr>
            <w:tcW w:w="993" w:type="dxa"/>
          </w:tcPr>
          <w:p w:rsidR="006851B1" w:rsidRPr="002F2DCD" w:rsidRDefault="00AA1F93"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-5,9</w:t>
            </w:r>
          </w:p>
        </w:tc>
      </w:tr>
      <w:tr w:rsidR="00431C9C" w:rsidRPr="002F2DCD" w:rsidTr="006851B1">
        <w:tc>
          <w:tcPr>
            <w:tcW w:w="2381" w:type="dxa"/>
          </w:tcPr>
          <w:p w:rsidR="00431C9C" w:rsidRPr="002F2DCD" w:rsidRDefault="00431C9C"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Государственный и муниципальный долг, млрд. руб.</w:t>
            </w:r>
          </w:p>
        </w:tc>
        <w:tc>
          <w:tcPr>
            <w:tcW w:w="1225" w:type="dxa"/>
          </w:tcPr>
          <w:p w:rsidR="00431C9C"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14,0</w:t>
            </w:r>
          </w:p>
        </w:tc>
        <w:tc>
          <w:tcPr>
            <w:tcW w:w="1276" w:type="dxa"/>
          </w:tcPr>
          <w:p w:rsidR="00431C9C"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30,2</w:t>
            </w:r>
          </w:p>
        </w:tc>
        <w:tc>
          <w:tcPr>
            <w:tcW w:w="992" w:type="dxa"/>
          </w:tcPr>
          <w:p w:rsidR="00431C9C"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59,3</w:t>
            </w:r>
          </w:p>
        </w:tc>
        <w:tc>
          <w:tcPr>
            <w:tcW w:w="1134" w:type="dxa"/>
          </w:tcPr>
          <w:p w:rsidR="00431C9C"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88,9</w:t>
            </w:r>
          </w:p>
        </w:tc>
        <w:tc>
          <w:tcPr>
            <w:tcW w:w="992" w:type="dxa"/>
          </w:tcPr>
          <w:p w:rsidR="00431C9C"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100,2</w:t>
            </w:r>
          </w:p>
        </w:tc>
        <w:tc>
          <w:tcPr>
            <w:tcW w:w="993" w:type="dxa"/>
          </w:tcPr>
          <w:p w:rsidR="00431C9C"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101,8</w:t>
            </w:r>
          </w:p>
        </w:tc>
      </w:tr>
      <w:tr w:rsidR="002F2DCD" w:rsidRPr="002F2DCD" w:rsidTr="006851B1">
        <w:tc>
          <w:tcPr>
            <w:tcW w:w="2381" w:type="dxa"/>
          </w:tcPr>
          <w:p w:rsidR="00431C9C" w:rsidRPr="002F2DCD" w:rsidRDefault="00431C9C"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Государственный и муниципальный долг, % от ВРП</w:t>
            </w:r>
          </w:p>
        </w:tc>
        <w:tc>
          <w:tcPr>
            <w:tcW w:w="1225" w:type="dxa"/>
          </w:tcPr>
          <w:p w:rsidR="00431C9C"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0,3</w:t>
            </w:r>
          </w:p>
        </w:tc>
        <w:tc>
          <w:tcPr>
            <w:tcW w:w="1276" w:type="dxa"/>
          </w:tcPr>
          <w:p w:rsidR="00431C9C"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0,8</w:t>
            </w:r>
          </w:p>
        </w:tc>
        <w:tc>
          <w:tcPr>
            <w:tcW w:w="992" w:type="dxa"/>
          </w:tcPr>
          <w:p w:rsidR="00431C9C"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1,5</w:t>
            </w:r>
          </w:p>
        </w:tc>
        <w:tc>
          <w:tcPr>
            <w:tcW w:w="1134" w:type="dxa"/>
          </w:tcPr>
          <w:p w:rsidR="00431C9C"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2,2</w:t>
            </w:r>
          </w:p>
        </w:tc>
        <w:tc>
          <w:tcPr>
            <w:tcW w:w="992" w:type="dxa"/>
          </w:tcPr>
          <w:p w:rsidR="00431C9C"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2,4</w:t>
            </w:r>
          </w:p>
        </w:tc>
        <w:tc>
          <w:tcPr>
            <w:tcW w:w="993" w:type="dxa"/>
          </w:tcPr>
          <w:p w:rsidR="00431C9C"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2,4</w:t>
            </w:r>
          </w:p>
        </w:tc>
      </w:tr>
    </w:tbl>
    <w:p w:rsidR="006851B1" w:rsidRPr="008D394A" w:rsidRDefault="006851B1" w:rsidP="008D394A">
      <w:pPr>
        <w:pStyle w:val="ConsPlusNormal"/>
        <w:contextualSpacing/>
        <w:jc w:val="both"/>
        <w:rPr>
          <w:rFonts w:ascii="Times New Roman" w:hAnsi="Times New Roman" w:cs="Times New Roman"/>
          <w:color w:val="000000" w:themeColor="text1"/>
          <w:szCs w:val="22"/>
        </w:rPr>
      </w:pPr>
    </w:p>
    <w:p w:rsidR="006851B1" w:rsidRPr="008D394A" w:rsidRDefault="006851B1" w:rsidP="008D394A">
      <w:pPr>
        <w:pStyle w:val="ConsPlusNormal"/>
        <w:contextualSpacing/>
        <w:jc w:val="right"/>
        <w:outlineLvl w:val="2"/>
        <w:rPr>
          <w:rFonts w:ascii="Times New Roman" w:hAnsi="Times New Roman" w:cs="Times New Roman"/>
          <w:color w:val="000000" w:themeColor="text1"/>
          <w:szCs w:val="22"/>
        </w:rPr>
      </w:pPr>
      <w:r w:rsidRPr="008D394A">
        <w:rPr>
          <w:rFonts w:ascii="Times New Roman" w:hAnsi="Times New Roman" w:cs="Times New Roman"/>
          <w:color w:val="000000" w:themeColor="text1"/>
          <w:szCs w:val="22"/>
        </w:rPr>
        <w:t xml:space="preserve">Таблица </w:t>
      </w:r>
      <w:r w:rsidR="002F2DCD">
        <w:rPr>
          <w:rFonts w:ascii="Times New Roman" w:hAnsi="Times New Roman" w:cs="Times New Roman"/>
          <w:color w:val="000000" w:themeColor="text1"/>
          <w:szCs w:val="22"/>
        </w:rPr>
        <w:t>6</w:t>
      </w:r>
    </w:p>
    <w:p w:rsidR="006851B1" w:rsidRPr="008D394A" w:rsidRDefault="006851B1" w:rsidP="008D394A">
      <w:pPr>
        <w:pStyle w:val="ConsPlusNormal"/>
        <w:contextualSpacing/>
        <w:jc w:val="both"/>
        <w:rPr>
          <w:rFonts w:ascii="Times New Roman" w:hAnsi="Times New Roman" w:cs="Times New Roman"/>
          <w:color w:val="000000" w:themeColor="text1"/>
          <w:szCs w:val="22"/>
        </w:rPr>
      </w:pP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Прогноз основных характеристик бюджета Ханты-Мансийского</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 xml:space="preserve">автономного округа - Югры, </w:t>
      </w:r>
      <w:proofErr w:type="gramStart"/>
      <w:r w:rsidRPr="002F2DCD">
        <w:rPr>
          <w:rFonts w:ascii="Times New Roman" w:hAnsi="Times New Roman" w:cs="Times New Roman"/>
          <w:color w:val="000000" w:themeColor="text1"/>
          <w:szCs w:val="22"/>
        </w:rPr>
        <w:t>основанный</w:t>
      </w:r>
      <w:proofErr w:type="gramEnd"/>
      <w:r w:rsidRPr="002F2DCD">
        <w:rPr>
          <w:rFonts w:ascii="Times New Roman" w:hAnsi="Times New Roman" w:cs="Times New Roman"/>
          <w:color w:val="000000" w:themeColor="text1"/>
          <w:szCs w:val="22"/>
        </w:rPr>
        <w:t xml:space="preserve"> на консервативном варианте</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социально-экономического развития Ханты-Мансийского</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 xml:space="preserve">автономного округа - Югры, показатели </w:t>
      </w:r>
      <w:proofErr w:type="gramStart"/>
      <w:r w:rsidRPr="002F2DCD">
        <w:rPr>
          <w:rFonts w:ascii="Times New Roman" w:hAnsi="Times New Roman" w:cs="Times New Roman"/>
          <w:color w:val="000000" w:themeColor="text1"/>
          <w:szCs w:val="22"/>
        </w:rPr>
        <w:t>финансового</w:t>
      </w:r>
      <w:proofErr w:type="gramEnd"/>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обеспечения государственных программ Ханты-Мансийского</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автономного округа - Югры, прогноз расходов бюджета</w:t>
      </w:r>
    </w:p>
    <w:p w:rsidR="006851B1" w:rsidRPr="002F2DCD"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Ханты-Мансийского автономного округа - Югры на осуществление</w:t>
      </w:r>
    </w:p>
    <w:p w:rsidR="006851B1" w:rsidRPr="008D394A" w:rsidRDefault="006851B1" w:rsidP="008D394A">
      <w:pPr>
        <w:pStyle w:val="ConsPlusTitle"/>
        <w:contextualSpacing/>
        <w:jc w:val="center"/>
        <w:rPr>
          <w:rFonts w:ascii="Times New Roman" w:hAnsi="Times New Roman" w:cs="Times New Roman"/>
          <w:color w:val="000000" w:themeColor="text1"/>
          <w:szCs w:val="22"/>
        </w:rPr>
      </w:pPr>
      <w:r w:rsidRPr="002F2DCD">
        <w:rPr>
          <w:rFonts w:ascii="Times New Roman" w:hAnsi="Times New Roman" w:cs="Times New Roman"/>
          <w:color w:val="000000" w:themeColor="text1"/>
          <w:szCs w:val="22"/>
        </w:rPr>
        <w:t>непрограммных направлений деятельности</w:t>
      </w:r>
    </w:p>
    <w:p w:rsidR="006851B1" w:rsidRPr="008D394A" w:rsidRDefault="006851B1" w:rsidP="008D394A">
      <w:pPr>
        <w:pStyle w:val="ConsPlusNormal"/>
        <w:contextualSpacing/>
        <w:jc w:val="both"/>
        <w:rPr>
          <w:rFonts w:ascii="Times New Roman" w:hAnsi="Times New Roman" w:cs="Times New Roman"/>
          <w:color w:val="000000" w:themeColor="text1"/>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1367"/>
        <w:gridCol w:w="1134"/>
        <w:gridCol w:w="1134"/>
        <w:gridCol w:w="992"/>
        <w:gridCol w:w="992"/>
        <w:gridCol w:w="993"/>
      </w:tblGrid>
      <w:tr w:rsidR="006851B1" w:rsidRPr="002F2DCD" w:rsidTr="0076697D">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Наименование показателя</w:t>
            </w:r>
          </w:p>
        </w:tc>
        <w:tc>
          <w:tcPr>
            <w:tcW w:w="1367"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2019 год</w:t>
            </w:r>
          </w:p>
        </w:tc>
        <w:tc>
          <w:tcPr>
            <w:tcW w:w="1134"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2020 год</w:t>
            </w:r>
          </w:p>
        </w:tc>
        <w:tc>
          <w:tcPr>
            <w:tcW w:w="1134"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2021 год</w:t>
            </w:r>
          </w:p>
        </w:tc>
        <w:tc>
          <w:tcPr>
            <w:tcW w:w="992"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2022 год</w:t>
            </w:r>
          </w:p>
        </w:tc>
        <w:tc>
          <w:tcPr>
            <w:tcW w:w="992"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2023 год</w:t>
            </w:r>
          </w:p>
        </w:tc>
        <w:tc>
          <w:tcPr>
            <w:tcW w:w="993" w:type="dxa"/>
          </w:tcPr>
          <w:p w:rsidR="006851B1" w:rsidRPr="002F2DCD" w:rsidRDefault="006851B1"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2024 год</w:t>
            </w:r>
          </w:p>
        </w:tc>
      </w:tr>
      <w:tr w:rsidR="006851B1" w:rsidRPr="002F2DCD" w:rsidTr="0076697D">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Доходы бюджета автономного округа, млрд. руб.</w:t>
            </w:r>
          </w:p>
        </w:tc>
        <w:tc>
          <w:tcPr>
            <w:tcW w:w="1367"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237,7</w:t>
            </w:r>
          </w:p>
        </w:tc>
        <w:tc>
          <w:tcPr>
            <w:tcW w:w="1134"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196,9</w:t>
            </w:r>
          </w:p>
        </w:tc>
        <w:tc>
          <w:tcPr>
            <w:tcW w:w="1134"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202,9</w:t>
            </w:r>
          </w:p>
        </w:tc>
        <w:tc>
          <w:tcPr>
            <w:tcW w:w="992"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208,9</w:t>
            </w:r>
          </w:p>
        </w:tc>
        <w:tc>
          <w:tcPr>
            <w:tcW w:w="992"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201,5</w:t>
            </w:r>
          </w:p>
        </w:tc>
        <w:tc>
          <w:tcPr>
            <w:tcW w:w="993"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203,7</w:t>
            </w:r>
          </w:p>
        </w:tc>
      </w:tr>
      <w:tr w:rsidR="006851B1" w:rsidRPr="002F2DCD" w:rsidTr="0076697D">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Расходы бюджета автономного округа, млрд. руб.</w:t>
            </w:r>
          </w:p>
        </w:tc>
        <w:tc>
          <w:tcPr>
            <w:tcW w:w="1367"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258,1</w:t>
            </w:r>
          </w:p>
        </w:tc>
        <w:tc>
          <w:tcPr>
            <w:tcW w:w="1134"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233,8</w:t>
            </w:r>
          </w:p>
        </w:tc>
        <w:tc>
          <w:tcPr>
            <w:tcW w:w="1134"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232,6</w:t>
            </w:r>
          </w:p>
        </w:tc>
        <w:tc>
          <w:tcPr>
            <w:tcW w:w="992"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238,7</w:t>
            </w:r>
          </w:p>
        </w:tc>
        <w:tc>
          <w:tcPr>
            <w:tcW w:w="992"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212,7</w:t>
            </w:r>
          </w:p>
        </w:tc>
        <w:tc>
          <w:tcPr>
            <w:tcW w:w="993"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205,4</w:t>
            </w:r>
          </w:p>
        </w:tc>
      </w:tr>
      <w:tr w:rsidR="006851B1" w:rsidRPr="002F2DCD" w:rsidTr="0076697D">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Расходы на непрограммную деятельность, млрд. руб.</w:t>
            </w:r>
          </w:p>
        </w:tc>
        <w:tc>
          <w:tcPr>
            <w:tcW w:w="1367" w:type="dxa"/>
          </w:tcPr>
          <w:p w:rsidR="006851B1"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w:t>
            </w:r>
            <w:r w:rsidR="00213F75" w:rsidRPr="002F2DCD">
              <w:rPr>
                <w:rFonts w:ascii="Times New Roman" w:hAnsi="Times New Roman" w:cs="Times New Roman"/>
                <w:b/>
                <w:color w:val="000000" w:themeColor="text1"/>
                <w:szCs w:val="22"/>
              </w:rPr>
              <w:t>7</w:t>
            </w:r>
          </w:p>
        </w:tc>
        <w:tc>
          <w:tcPr>
            <w:tcW w:w="1134" w:type="dxa"/>
          </w:tcPr>
          <w:p w:rsidR="006851B1"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1,5</w:t>
            </w:r>
          </w:p>
        </w:tc>
        <w:tc>
          <w:tcPr>
            <w:tcW w:w="1134" w:type="dxa"/>
          </w:tcPr>
          <w:p w:rsidR="006851B1"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7,9</w:t>
            </w:r>
          </w:p>
        </w:tc>
        <w:tc>
          <w:tcPr>
            <w:tcW w:w="992" w:type="dxa"/>
          </w:tcPr>
          <w:p w:rsidR="006851B1"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14,2</w:t>
            </w:r>
          </w:p>
        </w:tc>
        <w:tc>
          <w:tcPr>
            <w:tcW w:w="992" w:type="dxa"/>
          </w:tcPr>
          <w:p w:rsidR="006851B1"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7,2</w:t>
            </w:r>
          </w:p>
        </w:tc>
        <w:tc>
          <w:tcPr>
            <w:tcW w:w="993" w:type="dxa"/>
          </w:tcPr>
          <w:p w:rsidR="006851B1"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6,8</w:t>
            </w:r>
          </w:p>
        </w:tc>
      </w:tr>
      <w:tr w:rsidR="006851B1" w:rsidRPr="002F2DCD" w:rsidTr="0076697D">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 xml:space="preserve">Программно-целевые расходы автономного </w:t>
            </w:r>
            <w:r w:rsidRPr="002F2DCD">
              <w:rPr>
                <w:rFonts w:ascii="Times New Roman" w:hAnsi="Times New Roman" w:cs="Times New Roman"/>
                <w:b/>
                <w:color w:val="000000" w:themeColor="text1"/>
                <w:szCs w:val="22"/>
              </w:rPr>
              <w:lastRenderedPageBreak/>
              <w:t>округа, млрд. руб.</w:t>
            </w:r>
          </w:p>
        </w:tc>
        <w:tc>
          <w:tcPr>
            <w:tcW w:w="1367" w:type="dxa"/>
          </w:tcPr>
          <w:p w:rsidR="006851B1"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lastRenderedPageBreak/>
              <w:t>256,</w:t>
            </w:r>
            <w:r w:rsidR="00213F75" w:rsidRPr="002F2DCD">
              <w:rPr>
                <w:rFonts w:ascii="Times New Roman" w:hAnsi="Times New Roman" w:cs="Times New Roman"/>
                <w:b/>
                <w:color w:val="000000" w:themeColor="text1"/>
                <w:szCs w:val="22"/>
              </w:rPr>
              <w:t>4</w:t>
            </w:r>
          </w:p>
        </w:tc>
        <w:tc>
          <w:tcPr>
            <w:tcW w:w="1134" w:type="dxa"/>
          </w:tcPr>
          <w:p w:rsidR="006851B1"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232,3</w:t>
            </w:r>
          </w:p>
        </w:tc>
        <w:tc>
          <w:tcPr>
            <w:tcW w:w="1134" w:type="dxa"/>
          </w:tcPr>
          <w:p w:rsidR="006851B1"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224,7</w:t>
            </w:r>
          </w:p>
        </w:tc>
        <w:tc>
          <w:tcPr>
            <w:tcW w:w="992" w:type="dxa"/>
          </w:tcPr>
          <w:p w:rsidR="006851B1"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224,5</w:t>
            </w:r>
          </w:p>
        </w:tc>
        <w:tc>
          <w:tcPr>
            <w:tcW w:w="992" w:type="dxa"/>
          </w:tcPr>
          <w:p w:rsidR="006851B1"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205,5</w:t>
            </w:r>
          </w:p>
        </w:tc>
        <w:tc>
          <w:tcPr>
            <w:tcW w:w="993" w:type="dxa"/>
          </w:tcPr>
          <w:p w:rsidR="006851B1" w:rsidRPr="002F2DCD" w:rsidRDefault="00431C9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198,6</w:t>
            </w:r>
          </w:p>
        </w:tc>
      </w:tr>
      <w:tr w:rsidR="006851B1" w:rsidRPr="002F2DCD" w:rsidTr="0076697D">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lastRenderedPageBreak/>
              <w:t>Дефицит (профицит) бюджета автономного округа, млрд. руб.</w:t>
            </w:r>
          </w:p>
        </w:tc>
        <w:tc>
          <w:tcPr>
            <w:tcW w:w="1367"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-20,4</w:t>
            </w:r>
          </w:p>
        </w:tc>
        <w:tc>
          <w:tcPr>
            <w:tcW w:w="1134"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-36,9</w:t>
            </w:r>
          </w:p>
        </w:tc>
        <w:tc>
          <w:tcPr>
            <w:tcW w:w="1134"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-29,7</w:t>
            </w:r>
          </w:p>
        </w:tc>
        <w:tc>
          <w:tcPr>
            <w:tcW w:w="992"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-29,8</w:t>
            </w:r>
          </w:p>
        </w:tc>
        <w:tc>
          <w:tcPr>
            <w:tcW w:w="992"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-11,2</w:t>
            </w:r>
          </w:p>
        </w:tc>
        <w:tc>
          <w:tcPr>
            <w:tcW w:w="993" w:type="dxa"/>
          </w:tcPr>
          <w:p w:rsidR="006851B1" w:rsidRPr="002F2DCD" w:rsidRDefault="00A10F25"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-1,7</w:t>
            </w:r>
          </w:p>
        </w:tc>
      </w:tr>
      <w:tr w:rsidR="006851B1" w:rsidRPr="002F2DCD" w:rsidTr="0076697D">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Государственный долг автономного округа, млрд. руб.</w:t>
            </w:r>
          </w:p>
        </w:tc>
        <w:tc>
          <w:tcPr>
            <w:tcW w:w="1367" w:type="dxa"/>
          </w:tcPr>
          <w:p w:rsidR="006851B1"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19,0</w:t>
            </w:r>
          </w:p>
        </w:tc>
        <w:tc>
          <w:tcPr>
            <w:tcW w:w="1134" w:type="dxa"/>
          </w:tcPr>
          <w:p w:rsidR="006851B1"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35,8</w:t>
            </w:r>
          </w:p>
        </w:tc>
        <w:tc>
          <w:tcPr>
            <w:tcW w:w="1134" w:type="dxa"/>
          </w:tcPr>
          <w:p w:rsidR="006851B1"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65,7</w:t>
            </w:r>
          </w:p>
        </w:tc>
        <w:tc>
          <w:tcPr>
            <w:tcW w:w="992" w:type="dxa"/>
          </w:tcPr>
          <w:p w:rsidR="006851B1"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95,3</w:t>
            </w:r>
          </w:p>
        </w:tc>
        <w:tc>
          <w:tcPr>
            <w:tcW w:w="992" w:type="dxa"/>
          </w:tcPr>
          <w:p w:rsidR="006851B1"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107,0</w:t>
            </w:r>
          </w:p>
        </w:tc>
        <w:tc>
          <w:tcPr>
            <w:tcW w:w="993" w:type="dxa"/>
          </w:tcPr>
          <w:p w:rsidR="006851B1"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108,8</w:t>
            </w:r>
          </w:p>
        </w:tc>
      </w:tr>
      <w:tr w:rsidR="002F2DCD" w:rsidRPr="002F2DCD" w:rsidTr="0076697D">
        <w:trPr>
          <w:trHeight w:val="610"/>
        </w:trPr>
        <w:tc>
          <w:tcPr>
            <w:tcW w:w="2381" w:type="dxa"/>
          </w:tcPr>
          <w:p w:rsidR="006851B1" w:rsidRPr="002F2DCD" w:rsidRDefault="006851B1" w:rsidP="008D394A">
            <w:pPr>
              <w:pStyle w:val="ConsPlusNormal"/>
              <w:contextualSpacing/>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Государственный долг автономного округа, % от ВРП</w:t>
            </w:r>
          </w:p>
        </w:tc>
        <w:tc>
          <w:tcPr>
            <w:tcW w:w="1367" w:type="dxa"/>
          </w:tcPr>
          <w:p w:rsidR="006851B1"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0,5</w:t>
            </w:r>
          </w:p>
        </w:tc>
        <w:tc>
          <w:tcPr>
            <w:tcW w:w="1134" w:type="dxa"/>
          </w:tcPr>
          <w:p w:rsidR="006851B1"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0,9</w:t>
            </w:r>
          </w:p>
        </w:tc>
        <w:tc>
          <w:tcPr>
            <w:tcW w:w="1134" w:type="dxa"/>
          </w:tcPr>
          <w:p w:rsidR="006851B1"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1,6</w:t>
            </w:r>
          </w:p>
        </w:tc>
        <w:tc>
          <w:tcPr>
            <w:tcW w:w="992" w:type="dxa"/>
          </w:tcPr>
          <w:p w:rsidR="006851B1"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2,3</w:t>
            </w:r>
          </w:p>
        </w:tc>
        <w:tc>
          <w:tcPr>
            <w:tcW w:w="992" w:type="dxa"/>
          </w:tcPr>
          <w:p w:rsidR="006851B1"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2,6</w:t>
            </w:r>
          </w:p>
        </w:tc>
        <w:tc>
          <w:tcPr>
            <w:tcW w:w="993" w:type="dxa"/>
          </w:tcPr>
          <w:p w:rsidR="006851B1" w:rsidRPr="002F2DCD" w:rsidRDefault="008444CC" w:rsidP="008D394A">
            <w:pPr>
              <w:pStyle w:val="ConsPlusNormal"/>
              <w:contextualSpacing/>
              <w:jc w:val="center"/>
              <w:rPr>
                <w:rFonts w:ascii="Times New Roman" w:hAnsi="Times New Roman" w:cs="Times New Roman"/>
                <w:b/>
                <w:color w:val="000000" w:themeColor="text1"/>
                <w:szCs w:val="22"/>
              </w:rPr>
            </w:pPr>
            <w:r w:rsidRPr="002F2DCD">
              <w:rPr>
                <w:rFonts w:ascii="Times New Roman" w:hAnsi="Times New Roman" w:cs="Times New Roman"/>
                <w:b/>
                <w:color w:val="000000" w:themeColor="text1"/>
                <w:szCs w:val="22"/>
              </w:rPr>
              <w:t>2,6</w:t>
            </w:r>
          </w:p>
        </w:tc>
      </w:tr>
    </w:tbl>
    <w:p w:rsidR="008D394A" w:rsidRPr="008D394A" w:rsidRDefault="008D394A" w:rsidP="008D394A">
      <w:pPr>
        <w:pStyle w:val="ConsPlusNormal"/>
        <w:contextualSpacing/>
        <w:jc w:val="center"/>
        <w:outlineLvl w:val="2"/>
        <w:rPr>
          <w:rFonts w:ascii="Times New Roman" w:hAnsi="Times New Roman" w:cs="Times New Roman"/>
          <w:color w:val="000000" w:themeColor="text1"/>
          <w:szCs w:val="22"/>
        </w:rPr>
      </w:pPr>
    </w:p>
    <w:p w:rsidR="00A14F2C" w:rsidRDefault="00A14F2C" w:rsidP="008D394A">
      <w:pPr>
        <w:pStyle w:val="ConsPlusNormal"/>
        <w:contextualSpacing/>
        <w:jc w:val="center"/>
        <w:outlineLvl w:val="2"/>
        <w:rPr>
          <w:rFonts w:ascii="Times New Roman" w:hAnsi="Times New Roman" w:cs="Times New Roman"/>
          <w:color w:val="000000" w:themeColor="text1"/>
          <w:szCs w:val="22"/>
        </w:rPr>
      </w:pPr>
    </w:p>
    <w:p w:rsidR="00A14F2C" w:rsidRPr="00466E53" w:rsidRDefault="002F2DCD" w:rsidP="00A14F2C">
      <w:pPr>
        <w:spacing w:after="0" w:line="240" w:lineRule="auto"/>
        <w:jc w:val="right"/>
        <w:rPr>
          <w:rFonts w:ascii="Times New Roman" w:hAnsi="Times New Roman" w:cs="Times New Roman"/>
          <w:b/>
        </w:rPr>
      </w:pPr>
      <w:r w:rsidRPr="00466E53">
        <w:rPr>
          <w:rFonts w:ascii="Times New Roman" w:hAnsi="Times New Roman" w:cs="Times New Roman"/>
          <w:b/>
        </w:rPr>
        <w:t>Таблица 7</w:t>
      </w:r>
      <w:r w:rsidR="00A14F2C" w:rsidRPr="00466E53">
        <w:rPr>
          <w:rFonts w:ascii="Times New Roman" w:hAnsi="Times New Roman" w:cs="Times New Roman"/>
          <w:b/>
        </w:rPr>
        <w:t xml:space="preserve"> к Приложению</w:t>
      </w:r>
    </w:p>
    <w:p w:rsidR="00A14F2C" w:rsidRPr="00466E53" w:rsidRDefault="00A14F2C" w:rsidP="00A14F2C">
      <w:pPr>
        <w:spacing w:after="0" w:line="240" w:lineRule="auto"/>
        <w:jc w:val="right"/>
        <w:rPr>
          <w:rFonts w:ascii="Times New Roman" w:hAnsi="Times New Roman" w:cs="Times New Roman"/>
          <w:b/>
        </w:rPr>
      </w:pPr>
      <w:r w:rsidRPr="00466E53">
        <w:rPr>
          <w:rFonts w:ascii="Times New Roman" w:hAnsi="Times New Roman" w:cs="Times New Roman"/>
          <w:b/>
        </w:rPr>
        <w:t xml:space="preserve"> к распоряжению Правительства</w:t>
      </w:r>
    </w:p>
    <w:p w:rsidR="00A14F2C" w:rsidRPr="00466E53" w:rsidRDefault="00A14F2C" w:rsidP="00A14F2C">
      <w:pPr>
        <w:spacing w:after="0" w:line="240" w:lineRule="auto"/>
        <w:jc w:val="right"/>
        <w:rPr>
          <w:rFonts w:ascii="Times New Roman" w:hAnsi="Times New Roman" w:cs="Times New Roman"/>
          <w:b/>
        </w:rPr>
      </w:pPr>
      <w:r w:rsidRPr="00466E53">
        <w:rPr>
          <w:rFonts w:ascii="Times New Roman" w:hAnsi="Times New Roman" w:cs="Times New Roman"/>
          <w:b/>
        </w:rPr>
        <w:t xml:space="preserve">Ханты-Мансийского </w:t>
      </w:r>
    </w:p>
    <w:p w:rsidR="00A14F2C" w:rsidRPr="00466E53" w:rsidRDefault="00A14F2C" w:rsidP="00A14F2C">
      <w:pPr>
        <w:spacing w:after="0" w:line="240" w:lineRule="auto"/>
        <w:jc w:val="right"/>
        <w:rPr>
          <w:rFonts w:ascii="Times New Roman" w:hAnsi="Times New Roman" w:cs="Times New Roman"/>
          <w:b/>
        </w:rPr>
      </w:pPr>
      <w:r w:rsidRPr="00466E53">
        <w:rPr>
          <w:rFonts w:ascii="Times New Roman" w:hAnsi="Times New Roman" w:cs="Times New Roman"/>
          <w:b/>
        </w:rPr>
        <w:t>автономного округа - Югры</w:t>
      </w:r>
    </w:p>
    <w:p w:rsidR="00A14F2C" w:rsidRPr="00466E53" w:rsidRDefault="00A14F2C" w:rsidP="00A14F2C">
      <w:pPr>
        <w:spacing w:after="0" w:line="240" w:lineRule="auto"/>
        <w:jc w:val="right"/>
        <w:rPr>
          <w:rFonts w:ascii="Times New Roman" w:hAnsi="Times New Roman" w:cs="Times New Roman"/>
          <w:b/>
        </w:rPr>
      </w:pPr>
      <w:r w:rsidRPr="00466E53">
        <w:rPr>
          <w:rFonts w:ascii="Times New Roman" w:hAnsi="Times New Roman" w:cs="Times New Roman"/>
          <w:b/>
        </w:rPr>
        <w:t>от __ _________ 2019 года № __</w:t>
      </w:r>
      <w:proofErr w:type="gramStart"/>
      <w:r w:rsidRPr="00466E53">
        <w:rPr>
          <w:rFonts w:ascii="Times New Roman" w:hAnsi="Times New Roman" w:cs="Times New Roman"/>
          <w:b/>
        </w:rPr>
        <w:t>_-</w:t>
      </w:r>
      <w:proofErr w:type="spellStart"/>
      <w:proofErr w:type="gramEnd"/>
      <w:r w:rsidRPr="00466E53">
        <w:rPr>
          <w:rFonts w:ascii="Times New Roman" w:hAnsi="Times New Roman" w:cs="Times New Roman"/>
          <w:b/>
        </w:rPr>
        <w:t>рп</w:t>
      </w:r>
      <w:proofErr w:type="spellEnd"/>
    </w:p>
    <w:p w:rsidR="00A14F2C" w:rsidRPr="00466E53" w:rsidRDefault="00A14F2C" w:rsidP="00A14F2C">
      <w:pPr>
        <w:spacing w:after="0" w:line="240" w:lineRule="auto"/>
        <w:ind w:firstLine="709"/>
        <w:jc w:val="center"/>
        <w:rPr>
          <w:rFonts w:ascii="Times New Roman" w:hAnsi="Times New Roman" w:cs="Times New Roman"/>
          <w:b/>
          <w:sz w:val="28"/>
          <w:szCs w:val="28"/>
        </w:rPr>
      </w:pPr>
    </w:p>
    <w:p w:rsidR="00A14F2C" w:rsidRPr="00466E53" w:rsidRDefault="00A14F2C" w:rsidP="00A14F2C">
      <w:pPr>
        <w:spacing w:after="0" w:line="240" w:lineRule="auto"/>
        <w:ind w:firstLine="709"/>
        <w:jc w:val="center"/>
        <w:rPr>
          <w:rFonts w:ascii="Times New Roman" w:hAnsi="Times New Roman" w:cs="Times New Roman"/>
          <w:b/>
        </w:rPr>
      </w:pPr>
      <w:r w:rsidRPr="00466E53">
        <w:rPr>
          <w:rFonts w:ascii="Times New Roman" w:hAnsi="Times New Roman" w:cs="Times New Roman"/>
          <w:b/>
        </w:rPr>
        <w:t>Предельные расходы на финансовое обеспечение реализации государственных программ</w:t>
      </w:r>
    </w:p>
    <w:p w:rsidR="00A14F2C" w:rsidRPr="00466E53" w:rsidRDefault="00A14F2C" w:rsidP="00A14F2C">
      <w:pPr>
        <w:spacing w:after="0" w:line="240" w:lineRule="auto"/>
        <w:ind w:firstLine="709"/>
        <w:jc w:val="center"/>
        <w:rPr>
          <w:rFonts w:ascii="Times New Roman" w:hAnsi="Times New Roman" w:cs="Times New Roman"/>
          <w:b/>
        </w:rPr>
      </w:pPr>
      <w:r w:rsidRPr="00466E53">
        <w:rPr>
          <w:rFonts w:ascii="Times New Roman" w:hAnsi="Times New Roman" w:cs="Times New Roman"/>
          <w:b/>
        </w:rPr>
        <w:t>автономного округа на период их действия</w:t>
      </w:r>
      <w:r w:rsidR="003960DD" w:rsidRPr="00466E53">
        <w:rPr>
          <w:rFonts w:ascii="Times New Roman" w:hAnsi="Times New Roman" w:cs="Times New Roman"/>
          <w:b/>
        </w:rPr>
        <w:t xml:space="preserve"> (для базового варианта)</w:t>
      </w:r>
    </w:p>
    <w:p w:rsidR="00A14F2C" w:rsidRPr="00466E53" w:rsidRDefault="00A14F2C" w:rsidP="00A14F2C">
      <w:pPr>
        <w:pStyle w:val="ConsPlusNormal"/>
        <w:contextualSpacing/>
        <w:jc w:val="center"/>
        <w:outlineLvl w:val="2"/>
        <w:rPr>
          <w:rFonts w:ascii="Times New Roman" w:hAnsi="Times New Roman" w:cs="Times New Roman"/>
          <w:b/>
          <w:color w:val="000000" w:themeColor="text1"/>
          <w:szCs w:val="22"/>
        </w:rPr>
      </w:pPr>
    </w:p>
    <w:p w:rsidR="00A14F2C" w:rsidRDefault="00A14F2C" w:rsidP="00A14F2C">
      <w:pPr>
        <w:pStyle w:val="ConsPlusNormal"/>
        <w:contextualSpacing/>
        <w:jc w:val="center"/>
        <w:outlineLvl w:val="2"/>
        <w:rPr>
          <w:rFonts w:ascii="Times New Roman" w:hAnsi="Times New Roman" w:cs="Times New Roman"/>
          <w:color w:val="000000" w:themeColor="text1"/>
          <w:szCs w:val="22"/>
        </w:rPr>
      </w:pPr>
    </w:p>
    <w:p w:rsidR="00A14F2C" w:rsidRDefault="00A14F2C" w:rsidP="008D394A">
      <w:pPr>
        <w:pStyle w:val="ConsPlusNormal"/>
        <w:contextualSpacing/>
        <w:jc w:val="center"/>
        <w:outlineLvl w:val="2"/>
        <w:rPr>
          <w:rFonts w:ascii="Times New Roman" w:hAnsi="Times New Roman" w:cs="Times New Roman"/>
          <w:color w:val="000000" w:themeColor="text1"/>
          <w:szCs w:val="22"/>
        </w:rPr>
        <w:sectPr w:rsidR="00A14F2C" w:rsidSect="00D863D1">
          <w:headerReference w:type="default" r:id="rId22"/>
          <w:pgSz w:w="11906" w:h="16838"/>
          <w:pgMar w:top="1134" w:right="850" w:bottom="1134" w:left="1701" w:header="708" w:footer="708" w:gutter="0"/>
          <w:pgNumType w:start="2849"/>
          <w:cols w:space="708"/>
          <w:docGrid w:linePitch="360"/>
        </w:sectPr>
      </w:pPr>
    </w:p>
    <w:tbl>
      <w:tblPr>
        <w:tblpPr w:leftFromText="180" w:rightFromText="180" w:vertAnchor="page" w:horzAnchor="margin" w:tblpXSpec="center" w:tblpY="1115"/>
        <w:tblW w:w="163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37"/>
        <w:gridCol w:w="1027"/>
        <w:gridCol w:w="1134"/>
        <w:gridCol w:w="993"/>
        <w:gridCol w:w="1134"/>
        <w:gridCol w:w="1134"/>
        <w:gridCol w:w="1134"/>
        <w:gridCol w:w="1240"/>
        <w:gridCol w:w="1417"/>
        <w:gridCol w:w="1453"/>
      </w:tblGrid>
      <w:tr w:rsidR="00A14F2C" w:rsidRPr="00466E53" w:rsidTr="00FD1C58">
        <w:trPr>
          <w:cantSplit/>
          <w:tblHeader/>
        </w:trPr>
        <w:tc>
          <w:tcPr>
            <w:tcW w:w="5637" w:type="dxa"/>
            <w:tcBorders>
              <w:top w:val="single" w:sz="4" w:space="0" w:color="auto"/>
              <w:left w:val="single" w:sz="4" w:space="0" w:color="auto"/>
              <w:bottom w:val="single" w:sz="4" w:space="0" w:color="auto"/>
              <w:right w:val="single" w:sz="4" w:space="0" w:color="auto"/>
            </w:tcBorders>
            <w:vAlign w:val="center"/>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lastRenderedPageBreak/>
              <w:t>Наименование показателя</w:t>
            </w:r>
          </w:p>
        </w:tc>
        <w:tc>
          <w:tcPr>
            <w:tcW w:w="1027" w:type="dxa"/>
            <w:tcBorders>
              <w:top w:val="single" w:sz="4" w:space="0" w:color="auto"/>
              <w:left w:val="single" w:sz="4" w:space="0" w:color="auto"/>
              <w:bottom w:val="single" w:sz="4" w:space="0" w:color="auto"/>
              <w:right w:val="single" w:sz="4" w:space="0" w:color="auto"/>
            </w:tcBorders>
            <w:vAlign w:val="center"/>
          </w:tcPr>
          <w:p w:rsidR="00A14F2C" w:rsidRPr="00466E53" w:rsidRDefault="00A14F2C" w:rsidP="00A14F2C">
            <w:pPr>
              <w:keepNext/>
              <w:widowControl w:val="0"/>
              <w:autoSpaceDN w:val="0"/>
              <w:adjustRightInd w:val="0"/>
              <w:spacing w:after="0" w:line="240" w:lineRule="auto"/>
              <w:ind w:left="-81"/>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2019 г.</w:t>
            </w:r>
          </w:p>
        </w:tc>
        <w:tc>
          <w:tcPr>
            <w:tcW w:w="1134" w:type="dxa"/>
            <w:tcBorders>
              <w:top w:val="single" w:sz="4" w:space="0" w:color="auto"/>
              <w:left w:val="single" w:sz="4" w:space="0" w:color="auto"/>
              <w:bottom w:val="single" w:sz="4" w:space="0" w:color="auto"/>
              <w:right w:val="single" w:sz="4" w:space="0" w:color="auto"/>
            </w:tcBorders>
            <w:vAlign w:val="center"/>
          </w:tcPr>
          <w:p w:rsidR="00A14F2C" w:rsidRPr="00466E53" w:rsidRDefault="00A14F2C" w:rsidP="00A14F2C">
            <w:pPr>
              <w:keepNext/>
              <w:widowControl w:val="0"/>
              <w:autoSpaceDN w:val="0"/>
              <w:adjustRightInd w:val="0"/>
              <w:spacing w:after="0" w:line="240" w:lineRule="auto"/>
              <w:ind w:left="-81"/>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2020 г.</w:t>
            </w:r>
          </w:p>
        </w:tc>
        <w:tc>
          <w:tcPr>
            <w:tcW w:w="993" w:type="dxa"/>
            <w:tcBorders>
              <w:top w:val="single" w:sz="4" w:space="0" w:color="auto"/>
              <w:left w:val="single" w:sz="4" w:space="0" w:color="auto"/>
              <w:bottom w:val="single" w:sz="4" w:space="0" w:color="auto"/>
              <w:right w:val="single" w:sz="4" w:space="0" w:color="auto"/>
            </w:tcBorders>
            <w:vAlign w:val="center"/>
          </w:tcPr>
          <w:p w:rsidR="00A14F2C" w:rsidRPr="00466E53" w:rsidRDefault="00A14F2C" w:rsidP="00A14F2C">
            <w:pPr>
              <w:keepNext/>
              <w:widowControl w:val="0"/>
              <w:autoSpaceDN w:val="0"/>
              <w:adjustRightInd w:val="0"/>
              <w:spacing w:after="0" w:line="240" w:lineRule="auto"/>
              <w:ind w:left="-81"/>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2021 г.</w:t>
            </w:r>
          </w:p>
        </w:tc>
        <w:tc>
          <w:tcPr>
            <w:tcW w:w="1134" w:type="dxa"/>
            <w:tcBorders>
              <w:top w:val="single" w:sz="4" w:space="0" w:color="auto"/>
              <w:left w:val="single" w:sz="4" w:space="0" w:color="auto"/>
              <w:bottom w:val="single" w:sz="4" w:space="0" w:color="auto"/>
              <w:right w:val="single" w:sz="4" w:space="0" w:color="auto"/>
            </w:tcBorders>
            <w:vAlign w:val="center"/>
          </w:tcPr>
          <w:p w:rsidR="00A14F2C" w:rsidRPr="00466E53" w:rsidRDefault="00A14F2C" w:rsidP="00A14F2C">
            <w:pPr>
              <w:keepNext/>
              <w:widowControl w:val="0"/>
              <w:autoSpaceDN w:val="0"/>
              <w:adjustRightInd w:val="0"/>
              <w:spacing w:after="0" w:line="240" w:lineRule="auto"/>
              <w:ind w:left="-81"/>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2022 г.</w:t>
            </w:r>
          </w:p>
        </w:tc>
        <w:tc>
          <w:tcPr>
            <w:tcW w:w="1134" w:type="dxa"/>
            <w:tcBorders>
              <w:top w:val="single" w:sz="4" w:space="0" w:color="auto"/>
              <w:left w:val="single" w:sz="4" w:space="0" w:color="auto"/>
              <w:bottom w:val="single" w:sz="4" w:space="0" w:color="auto"/>
              <w:right w:val="single" w:sz="4" w:space="0" w:color="auto"/>
            </w:tcBorders>
            <w:vAlign w:val="center"/>
          </w:tcPr>
          <w:p w:rsidR="00A14F2C" w:rsidRPr="00466E53" w:rsidRDefault="00A14F2C" w:rsidP="00A14F2C">
            <w:pPr>
              <w:keepNext/>
              <w:widowControl w:val="0"/>
              <w:autoSpaceDN w:val="0"/>
              <w:adjustRightInd w:val="0"/>
              <w:spacing w:after="0" w:line="240" w:lineRule="auto"/>
              <w:ind w:left="-81"/>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2023 г.</w:t>
            </w:r>
          </w:p>
        </w:tc>
        <w:tc>
          <w:tcPr>
            <w:tcW w:w="1134" w:type="dxa"/>
            <w:tcBorders>
              <w:top w:val="single" w:sz="4" w:space="0" w:color="auto"/>
              <w:left w:val="single" w:sz="4" w:space="0" w:color="auto"/>
              <w:bottom w:val="single" w:sz="4" w:space="0" w:color="auto"/>
              <w:right w:val="single" w:sz="4" w:space="0" w:color="auto"/>
            </w:tcBorders>
            <w:vAlign w:val="center"/>
          </w:tcPr>
          <w:p w:rsidR="00A14F2C" w:rsidRPr="00466E53" w:rsidRDefault="00A14F2C" w:rsidP="00A14F2C">
            <w:pPr>
              <w:keepNext/>
              <w:widowControl w:val="0"/>
              <w:autoSpaceDN w:val="0"/>
              <w:adjustRightInd w:val="0"/>
              <w:spacing w:after="0" w:line="240" w:lineRule="auto"/>
              <w:ind w:left="-81"/>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2024 г.</w:t>
            </w:r>
          </w:p>
        </w:tc>
        <w:tc>
          <w:tcPr>
            <w:tcW w:w="1240" w:type="dxa"/>
            <w:tcBorders>
              <w:top w:val="single" w:sz="4" w:space="0" w:color="auto"/>
              <w:left w:val="single" w:sz="4" w:space="0" w:color="auto"/>
              <w:bottom w:val="single" w:sz="4" w:space="0" w:color="auto"/>
              <w:right w:val="single" w:sz="4" w:space="0" w:color="auto"/>
            </w:tcBorders>
            <w:vAlign w:val="center"/>
          </w:tcPr>
          <w:p w:rsidR="00A14F2C" w:rsidRPr="00466E53" w:rsidRDefault="00A14F2C" w:rsidP="00A14F2C">
            <w:pPr>
              <w:keepNext/>
              <w:widowControl w:val="0"/>
              <w:autoSpaceDN w:val="0"/>
              <w:adjustRightInd w:val="0"/>
              <w:spacing w:after="0" w:line="240" w:lineRule="auto"/>
              <w:ind w:left="-81"/>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2025 г.</w:t>
            </w:r>
          </w:p>
        </w:tc>
        <w:tc>
          <w:tcPr>
            <w:tcW w:w="1417" w:type="dxa"/>
            <w:tcBorders>
              <w:top w:val="single" w:sz="4" w:space="0" w:color="auto"/>
              <w:left w:val="single" w:sz="4" w:space="0" w:color="auto"/>
              <w:bottom w:val="single" w:sz="4" w:space="0" w:color="auto"/>
              <w:right w:val="single" w:sz="4" w:space="0" w:color="auto"/>
            </w:tcBorders>
            <w:vAlign w:val="center"/>
          </w:tcPr>
          <w:p w:rsidR="00A14F2C" w:rsidRPr="00466E53" w:rsidRDefault="00A14F2C" w:rsidP="00A14F2C">
            <w:pPr>
              <w:keepNext/>
              <w:widowControl w:val="0"/>
              <w:autoSpaceDN w:val="0"/>
              <w:adjustRightInd w:val="0"/>
              <w:spacing w:after="0" w:line="240" w:lineRule="auto"/>
              <w:ind w:left="-81"/>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2026-2030 гг.</w:t>
            </w:r>
          </w:p>
        </w:tc>
        <w:tc>
          <w:tcPr>
            <w:tcW w:w="1453" w:type="dxa"/>
            <w:tcBorders>
              <w:top w:val="single" w:sz="4" w:space="0" w:color="auto"/>
              <w:left w:val="single" w:sz="4" w:space="0" w:color="auto"/>
              <w:bottom w:val="single" w:sz="4" w:space="0" w:color="auto"/>
              <w:right w:val="single" w:sz="4" w:space="0" w:color="auto"/>
            </w:tcBorders>
            <w:vAlign w:val="center"/>
          </w:tcPr>
          <w:p w:rsidR="00A14F2C" w:rsidRPr="00466E53" w:rsidRDefault="00A14F2C" w:rsidP="00A14F2C">
            <w:pPr>
              <w:keepNext/>
              <w:widowControl w:val="0"/>
              <w:autoSpaceDN w:val="0"/>
              <w:adjustRightInd w:val="0"/>
              <w:spacing w:after="0" w:line="240" w:lineRule="auto"/>
              <w:ind w:left="-81"/>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2031- 2036</w:t>
            </w:r>
            <w:r w:rsidRPr="00466E53">
              <w:rPr>
                <w:rFonts w:ascii="Times New Roman" w:eastAsia="Times New Roman" w:hAnsi="Times New Roman" w:cs="Times New Roman"/>
                <w:b/>
                <w:kern w:val="1"/>
                <w:sz w:val="18"/>
                <w:szCs w:val="18"/>
                <w:lang w:eastAsia="ru-RU" w:bidi="hi-IN"/>
              </w:rPr>
              <w:t xml:space="preserve"> </w:t>
            </w:r>
            <w:r w:rsidRPr="00466E53">
              <w:rPr>
                <w:rFonts w:ascii="Times New Roman" w:eastAsia="Times New Roman" w:hAnsi="Times New Roman" w:cs="Times New Roman"/>
                <w:b/>
                <w:kern w:val="1"/>
                <w:sz w:val="18"/>
                <w:szCs w:val="18"/>
                <w:lang w:eastAsia="ru-RU" w:bidi="hi-IN"/>
              </w:rPr>
              <w:t>гг.</w:t>
            </w:r>
          </w:p>
        </w:tc>
      </w:tr>
      <w:tr w:rsidR="00A14F2C" w:rsidRPr="00466E53" w:rsidTr="00FD1C58">
        <w:trPr>
          <w:cantSplit/>
          <w:tblHeader/>
        </w:trPr>
        <w:tc>
          <w:tcPr>
            <w:tcW w:w="5637" w:type="dxa"/>
            <w:tcBorders>
              <w:top w:val="single" w:sz="4" w:space="0" w:color="auto"/>
            </w:tcBorders>
            <w:vAlign w:val="center"/>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w:t>
            </w:r>
          </w:p>
        </w:tc>
        <w:tc>
          <w:tcPr>
            <w:tcW w:w="1027" w:type="dxa"/>
            <w:tcBorders>
              <w:top w:val="single" w:sz="4" w:space="0" w:color="auto"/>
            </w:tcBorders>
            <w:vAlign w:val="center"/>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w:t>
            </w:r>
          </w:p>
        </w:tc>
        <w:tc>
          <w:tcPr>
            <w:tcW w:w="1134" w:type="dxa"/>
            <w:tcBorders>
              <w:top w:val="single" w:sz="4" w:space="0" w:color="auto"/>
            </w:tcBorders>
            <w:vAlign w:val="center"/>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w:t>
            </w:r>
          </w:p>
        </w:tc>
        <w:tc>
          <w:tcPr>
            <w:tcW w:w="993" w:type="dxa"/>
            <w:tcBorders>
              <w:top w:val="single" w:sz="4" w:space="0" w:color="auto"/>
            </w:tcBorders>
            <w:vAlign w:val="center"/>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4</w:t>
            </w:r>
          </w:p>
        </w:tc>
        <w:tc>
          <w:tcPr>
            <w:tcW w:w="1134" w:type="dxa"/>
            <w:tcBorders>
              <w:top w:val="single" w:sz="4" w:space="0" w:color="auto"/>
            </w:tcBorders>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5</w:t>
            </w:r>
          </w:p>
        </w:tc>
        <w:tc>
          <w:tcPr>
            <w:tcW w:w="1134" w:type="dxa"/>
            <w:tcBorders>
              <w:top w:val="single" w:sz="4" w:space="0" w:color="auto"/>
            </w:tcBorders>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6</w:t>
            </w:r>
          </w:p>
        </w:tc>
        <w:tc>
          <w:tcPr>
            <w:tcW w:w="1134" w:type="dxa"/>
            <w:tcBorders>
              <w:top w:val="single" w:sz="4" w:space="0" w:color="auto"/>
            </w:tcBorders>
            <w:vAlign w:val="center"/>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7</w:t>
            </w:r>
          </w:p>
        </w:tc>
        <w:tc>
          <w:tcPr>
            <w:tcW w:w="1240" w:type="dxa"/>
            <w:tcBorders>
              <w:top w:val="single" w:sz="4" w:space="0" w:color="auto"/>
            </w:tcBorders>
            <w:vAlign w:val="center"/>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417" w:type="dxa"/>
            <w:tcBorders>
              <w:top w:val="single" w:sz="4" w:space="0" w:color="auto"/>
            </w:tcBorders>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453" w:type="dxa"/>
            <w:tcBorders>
              <w:top w:val="single" w:sz="4" w:space="0" w:color="auto"/>
            </w:tcBorders>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vAlign w:val="bottom"/>
          </w:tcPr>
          <w:p w:rsidR="00A14F2C" w:rsidRPr="00466E53" w:rsidRDefault="00A14F2C" w:rsidP="00A14F2C">
            <w:pPr>
              <w:keepNext/>
              <w:widowControl w:val="0"/>
              <w:autoSpaceDN w:val="0"/>
              <w:adjustRightInd w:val="0"/>
              <w:spacing w:after="0" w:line="240" w:lineRule="auto"/>
              <w:ind w:left="-57"/>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Программно-целевые</w:t>
            </w:r>
            <w:r w:rsidRPr="00466E53">
              <w:rPr>
                <w:rFonts w:ascii="Times New Roman" w:eastAsia="Times New Roman" w:hAnsi="Times New Roman" w:cs="Times New Roman"/>
                <w:b/>
                <w:kern w:val="1"/>
                <w:sz w:val="18"/>
                <w:szCs w:val="18"/>
                <w:lang w:eastAsia="ru-RU" w:bidi="hi-IN"/>
              </w:rPr>
              <w:t xml:space="preserve"> расходы автономного округа, в мл</w:t>
            </w:r>
            <w:r w:rsidRPr="00466E53">
              <w:rPr>
                <w:rFonts w:ascii="Times New Roman" w:eastAsia="Times New Roman" w:hAnsi="Times New Roman" w:cs="Times New Roman"/>
                <w:b/>
                <w:kern w:val="1"/>
                <w:sz w:val="18"/>
                <w:szCs w:val="18"/>
                <w:lang w:eastAsia="ru-RU" w:bidi="hi-IN"/>
              </w:rPr>
              <w:t>рд. руб.</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256,2</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247,4</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240,7</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239,5</w:t>
            </w:r>
          </w:p>
        </w:tc>
        <w:tc>
          <w:tcPr>
            <w:tcW w:w="1134" w:type="dxa"/>
          </w:tcPr>
          <w:p w:rsidR="00A14F2C" w:rsidRPr="00466E53" w:rsidRDefault="003960DD"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218,0</w:t>
            </w:r>
          </w:p>
        </w:tc>
        <w:tc>
          <w:tcPr>
            <w:tcW w:w="1134" w:type="dxa"/>
          </w:tcPr>
          <w:p w:rsidR="00A14F2C" w:rsidRPr="00466E53" w:rsidRDefault="00AE11B4"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214,2</w:t>
            </w:r>
          </w:p>
        </w:tc>
        <w:tc>
          <w:tcPr>
            <w:tcW w:w="1240" w:type="dxa"/>
          </w:tcPr>
          <w:p w:rsidR="00A14F2C" w:rsidRPr="00466E53" w:rsidRDefault="002F2DCD"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207,9</w:t>
            </w:r>
          </w:p>
        </w:tc>
        <w:tc>
          <w:tcPr>
            <w:tcW w:w="1417" w:type="dxa"/>
          </w:tcPr>
          <w:p w:rsidR="00A14F2C" w:rsidRPr="00466E53" w:rsidRDefault="002F2DCD"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1016,7</w:t>
            </w:r>
          </w:p>
        </w:tc>
        <w:tc>
          <w:tcPr>
            <w:tcW w:w="1453" w:type="dxa"/>
          </w:tcPr>
          <w:p w:rsidR="00A14F2C" w:rsidRPr="00466E53" w:rsidRDefault="002F2DCD"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1220,1</w:t>
            </w: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rPr>
                <w:rFonts w:ascii="Times New Roman" w:eastAsia="Times New Roman" w:hAnsi="Times New Roman" w:cs="Times New Roman"/>
                <w:b/>
                <w:kern w:val="1"/>
                <w:sz w:val="18"/>
                <w:szCs w:val="18"/>
                <w:lang w:eastAsia="ru-RU" w:bidi="hi-IN"/>
              </w:rPr>
            </w:pPr>
            <w:proofErr w:type="spellStart"/>
            <w:r w:rsidRPr="00466E53">
              <w:rPr>
                <w:rFonts w:ascii="Times New Roman" w:eastAsia="Times New Roman" w:hAnsi="Times New Roman" w:cs="Times New Roman"/>
                <w:b/>
                <w:kern w:val="1"/>
                <w:sz w:val="18"/>
                <w:szCs w:val="18"/>
                <w:lang w:eastAsia="ru-RU" w:bidi="hi-IN"/>
              </w:rPr>
              <w:t>I.Социально</w:t>
            </w:r>
            <w:proofErr w:type="spellEnd"/>
            <w:r w:rsidRPr="00466E53">
              <w:rPr>
                <w:rFonts w:ascii="Times New Roman" w:eastAsia="Times New Roman" w:hAnsi="Times New Roman" w:cs="Times New Roman"/>
                <w:b/>
                <w:kern w:val="1"/>
                <w:sz w:val="18"/>
                <w:szCs w:val="18"/>
                <w:lang w:eastAsia="ru-RU" w:bidi="hi-IN"/>
              </w:rPr>
              <w:t>-культурная сфера (6 программ)</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32"/>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Современное здравоохранение</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63,1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58,2</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59,1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58,4</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44,8</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44,8</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42,3</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211,7</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32"/>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Развитие образования</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68,7</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81,2</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78,0</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77,1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75,9</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71,1</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70,1</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330,3</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32"/>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Социальное и демографическое развитие</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31,8</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30,2</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30,2</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30,4</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26,5</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26,5</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26,5</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132,6</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32"/>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Доступная среда</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32"/>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Культурное пространство</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2,9</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3,0</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2,9</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2,6</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2,6</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2,5</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12,5</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32"/>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 xml:space="preserve">Развитие физической культуры и спорта  </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7,2</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7,7</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4,3</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3,8</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3,8</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3,8</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3,8</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18,8</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right="-143" w:firstLine="132"/>
              <w:rPr>
                <w:rFonts w:ascii="Times New Roman" w:eastAsia="Times New Roman" w:hAnsi="Times New Roman" w:cs="Times New Roman"/>
                <w:b/>
                <w:kern w:val="1"/>
                <w:sz w:val="18"/>
                <w:szCs w:val="18"/>
                <w:lang w:eastAsia="ru-RU" w:bidi="hi-IN"/>
              </w:rPr>
            </w:pPr>
            <w:proofErr w:type="spellStart"/>
            <w:r w:rsidRPr="00466E53">
              <w:rPr>
                <w:rFonts w:ascii="Times New Roman" w:eastAsia="Times New Roman" w:hAnsi="Times New Roman" w:cs="Times New Roman"/>
                <w:b/>
                <w:kern w:val="1"/>
                <w:sz w:val="18"/>
                <w:szCs w:val="18"/>
                <w:lang w:eastAsia="ru-RU" w:bidi="hi-IN"/>
              </w:rPr>
              <w:t>II</w:t>
            </w:r>
            <w:proofErr w:type="spellEnd"/>
            <w:r w:rsidRPr="00466E53">
              <w:rPr>
                <w:rFonts w:ascii="Times New Roman" w:eastAsia="Times New Roman" w:hAnsi="Times New Roman" w:cs="Times New Roman"/>
                <w:b/>
                <w:kern w:val="1"/>
                <w:sz w:val="18"/>
                <w:szCs w:val="18"/>
                <w:lang w:eastAsia="ru-RU" w:bidi="hi-IN"/>
              </w:rPr>
              <w:t>. Жилищно-коммунальная сфера (2 программы)</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32"/>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Развитие жилищной сферы</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18,9</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11,5</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10,7</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10,6</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10,0</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10,0</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6,6</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32,9</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32"/>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Жилищно-коммунальный комплекс и городская среда</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3,9</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3,9</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3,9</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3,7</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3,0</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2,9</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2,8</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13,8</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rPr>
                <w:rFonts w:ascii="Times New Roman" w:eastAsia="Times New Roman" w:hAnsi="Times New Roman" w:cs="Times New Roman"/>
                <w:b/>
                <w:kern w:val="1"/>
                <w:sz w:val="18"/>
                <w:szCs w:val="18"/>
                <w:lang w:eastAsia="ru-RU" w:bidi="hi-IN"/>
              </w:rPr>
            </w:pPr>
            <w:proofErr w:type="spellStart"/>
            <w:r w:rsidRPr="00466E53">
              <w:rPr>
                <w:rFonts w:ascii="Times New Roman" w:eastAsia="Times New Roman" w:hAnsi="Times New Roman" w:cs="Times New Roman"/>
                <w:b/>
                <w:kern w:val="1"/>
                <w:sz w:val="18"/>
                <w:szCs w:val="18"/>
                <w:lang w:eastAsia="ru-RU" w:bidi="hi-IN"/>
              </w:rPr>
              <w:t>III</w:t>
            </w:r>
            <w:proofErr w:type="spellEnd"/>
            <w:r w:rsidRPr="00466E53">
              <w:rPr>
                <w:rFonts w:ascii="Times New Roman" w:eastAsia="Times New Roman" w:hAnsi="Times New Roman" w:cs="Times New Roman"/>
                <w:b/>
                <w:kern w:val="1"/>
                <w:sz w:val="18"/>
                <w:szCs w:val="18"/>
                <w:lang w:eastAsia="ru-RU" w:bidi="hi-IN"/>
              </w:rPr>
              <w:t>. Развитие отраслей экономики (8 программ)</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99"/>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Поддержка занятости населения</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1,5</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1,1</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1,0</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5,0</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99"/>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Развитие агропромышленного комплекса</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2,0</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1,8</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1,7</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1,7</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1,7</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8,6</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99"/>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Устойчивое развитие коренных малочисленных народов Севера</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0,1</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0,1</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0,1</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0,6</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99"/>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Развитие экономического потенциала</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2,3</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2,1</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3,0</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2,9</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2,9</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2,9</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14,5</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99"/>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Современная транспортная система</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18,8</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16,2</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15,8</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14,5</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14,7</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14,8</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14,8</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74,5</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99"/>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Управление государственным имуществом</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8,1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3,8</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2,0</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2,0</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1,7</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1,7</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1,7</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8,7</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99"/>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Воспроизводство и использование природных ресурсов</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2,2</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7,2</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99"/>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Развитие промышленности и туризма</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0,6</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0,4</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0,4</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1,2</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rPr>
                <w:rFonts w:ascii="Times New Roman" w:eastAsia="Times New Roman" w:hAnsi="Times New Roman" w:cs="Times New Roman"/>
                <w:b/>
                <w:kern w:val="1"/>
                <w:sz w:val="18"/>
                <w:szCs w:val="18"/>
                <w:lang w:eastAsia="ru-RU" w:bidi="hi-IN"/>
              </w:rPr>
            </w:pPr>
            <w:proofErr w:type="spellStart"/>
            <w:r w:rsidRPr="00466E53">
              <w:rPr>
                <w:rFonts w:ascii="Times New Roman" w:eastAsia="Times New Roman" w:hAnsi="Times New Roman" w:cs="Times New Roman"/>
                <w:b/>
                <w:kern w:val="1"/>
                <w:sz w:val="18"/>
                <w:szCs w:val="18"/>
                <w:lang w:eastAsia="ru-RU" w:bidi="hi-IN"/>
              </w:rPr>
              <w:t>IV</w:t>
            </w:r>
            <w:proofErr w:type="spellEnd"/>
            <w:r w:rsidRPr="00466E53">
              <w:rPr>
                <w:rFonts w:ascii="Times New Roman" w:eastAsia="Times New Roman" w:hAnsi="Times New Roman" w:cs="Times New Roman"/>
                <w:b/>
                <w:kern w:val="1"/>
                <w:sz w:val="18"/>
                <w:szCs w:val="18"/>
                <w:lang w:eastAsia="ru-RU" w:bidi="hi-IN"/>
              </w:rPr>
              <w:t>. Межбюджетное регулирование, сбалансированность бюджетов муниципальных образований (1 программа)</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Height w:val="371"/>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99"/>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Создание условий для эффективного управления муниципальными финансами</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11,1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11,6</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13,8</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14,7</w:t>
            </w:r>
          </w:p>
        </w:tc>
        <w:tc>
          <w:tcPr>
            <w:tcW w:w="1134" w:type="dxa"/>
          </w:tcPr>
          <w:p w:rsidR="00A14F2C" w:rsidRPr="00466E53" w:rsidRDefault="003960DD"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14,6</w:t>
            </w:r>
            <w:r w:rsidR="00AE11B4" w:rsidRPr="00466E53">
              <w:rPr>
                <w:rFonts w:ascii="Times New Roman" w:eastAsia="Times New Roman" w:hAnsi="Times New Roman" w:cs="Times New Roman"/>
                <w:b/>
                <w:kern w:val="1"/>
                <w:sz w:val="18"/>
                <w:szCs w:val="18"/>
                <w:lang w:eastAsia="ru-RU" w:bidi="hi-IN"/>
              </w:rPr>
              <w:t>*</w:t>
            </w:r>
          </w:p>
        </w:tc>
        <w:tc>
          <w:tcPr>
            <w:tcW w:w="1134" w:type="dxa"/>
          </w:tcPr>
          <w:p w:rsidR="00A14F2C" w:rsidRPr="00466E53" w:rsidRDefault="00AE11B4"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14,5*</w:t>
            </w:r>
          </w:p>
        </w:tc>
        <w:tc>
          <w:tcPr>
            <w:tcW w:w="1240" w:type="dxa"/>
          </w:tcPr>
          <w:p w:rsidR="00A14F2C" w:rsidRPr="00466E53" w:rsidRDefault="002F2DCD"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15,3*</w:t>
            </w:r>
          </w:p>
        </w:tc>
        <w:tc>
          <w:tcPr>
            <w:tcW w:w="1417" w:type="dxa"/>
          </w:tcPr>
          <w:p w:rsidR="00A14F2C" w:rsidRPr="00466E53" w:rsidRDefault="002F2DCD"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73,3</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V. Иные направления (8 программ</w:t>
            </w:r>
            <w:r w:rsidR="00FD1C58" w:rsidRPr="00466E53">
              <w:rPr>
                <w:rFonts w:ascii="Times New Roman" w:eastAsia="Times New Roman" w:hAnsi="Times New Roman" w:cs="Times New Roman"/>
                <w:b/>
                <w:kern w:val="1"/>
                <w:sz w:val="18"/>
                <w:szCs w:val="18"/>
                <w:lang w:eastAsia="ru-RU" w:bidi="hi-IN"/>
              </w:rPr>
              <w:t>)</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32"/>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Безопасность жизнедеятельности</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2,7</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2,8</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2,9</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2,8</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2,6</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2,6</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2,6</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13,2</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32"/>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Экологическая безопасность</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0,8</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1,3</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1,1</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0,6</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0,5</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0,5</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0,5</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2,6</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99"/>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Цифровое развитие Ханты-Мансийского автономного округа – Югры</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1,5</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1,3</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1,0</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1,0</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1,0</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1,0</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0,8</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3,8</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32"/>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Управление государственными финансами</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1,7</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2,9</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3,3</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4,4</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5,9</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7,0</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7,3</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36,5</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99"/>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Развитие гражданского общества</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1,3</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1,5</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1,2</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1,2</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1,2</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1,2</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1,2</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5,9</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99"/>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Развитие государственной гражданской и муниципальной службы</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1,8</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1,8</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1,8</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1,8</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1,4</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7,1</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99"/>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Профилактика правонарушений и обеспечение отдельных прав граждан</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0,3</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0,3</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0,3</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0,3</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1,2</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r w:rsidR="00A14F2C" w:rsidRPr="00466E53" w:rsidTr="00FD1C58">
        <w:trPr>
          <w:cantSplit/>
        </w:trPr>
        <w:tc>
          <w:tcPr>
            <w:tcW w:w="5637" w:type="dxa"/>
          </w:tcPr>
          <w:p w:rsidR="00A14F2C" w:rsidRPr="00466E53" w:rsidRDefault="00A14F2C" w:rsidP="00A14F2C">
            <w:pPr>
              <w:keepNext/>
              <w:widowControl w:val="0"/>
              <w:tabs>
                <w:tab w:val="center" w:pos="4677"/>
                <w:tab w:val="right" w:pos="9355"/>
              </w:tabs>
              <w:autoSpaceDN w:val="0"/>
              <w:adjustRightInd w:val="0"/>
              <w:spacing w:after="0" w:line="240" w:lineRule="auto"/>
              <w:ind w:left="-57" w:firstLine="199"/>
              <w:rPr>
                <w:rFonts w:ascii="Times New Roman" w:eastAsia="Times New Roman" w:hAnsi="Times New Roman" w:cs="Times New Roman"/>
                <w:b/>
                <w:i/>
                <w:kern w:val="1"/>
                <w:sz w:val="18"/>
                <w:szCs w:val="18"/>
                <w:lang w:eastAsia="ru-RU" w:bidi="hi-IN"/>
              </w:rPr>
            </w:pPr>
            <w:r w:rsidRPr="00466E53">
              <w:rPr>
                <w:rFonts w:ascii="Times New Roman" w:eastAsia="Times New Roman" w:hAnsi="Times New Roman" w:cs="Times New Roman"/>
                <w:b/>
                <w:i/>
                <w:kern w:val="1"/>
                <w:sz w:val="18"/>
                <w:szCs w:val="18"/>
                <w:lang w:eastAsia="ru-RU" w:bidi="hi-IN"/>
              </w:rPr>
              <w:t xml:space="preserve">Реализация государственной </w:t>
            </w:r>
            <w:proofErr w:type="gramStart"/>
            <w:r w:rsidRPr="00466E53">
              <w:rPr>
                <w:rFonts w:ascii="Times New Roman" w:eastAsia="Times New Roman" w:hAnsi="Times New Roman" w:cs="Times New Roman"/>
                <w:b/>
                <w:i/>
                <w:kern w:val="1"/>
                <w:sz w:val="18"/>
                <w:szCs w:val="18"/>
                <w:lang w:eastAsia="ru-RU" w:bidi="hi-IN"/>
              </w:rPr>
              <w:t>национальной</w:t>
            </w:r>
            <w:proofErr w:type="gramEnd"/>
            <w:r w:rsidRPr="00466E53">
              <w:rPr>
                <w:rFonts w:ascii="Times New Roman" w:eastAsia="Times New Roman" w:hAnsi="Times New Roman" w:cs="Times New Roman"/>
                <w:b/>
                <w:i/>
                <w:kern w:val="1"/>
                <w:sz w:val="18"/>
                <w:szCs w:val="18"/>
                <w:lang w:eastAsia="ru-RU" w:bidi="hi-IN"/>
              </w:rPr>
              <w:t xml:space="preserve"> политики и профилактика экстремизма</w:t>
            </w:r>
          </w:p>
        </w:tc>
        <w:tc>
          <w:tcPr>
            <w:tcW w:w="102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0,05</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0,04</w:t>
            </w:r>
          </w:p>
        </w:tc>
        <w:tc>
          <w:tcPr>
            <w:tcW w:w="99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0,04</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0,04</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0,04</w:t>
            </w:r>
          </w:p>
        </w:tc>
        <w:tc>
          <w:tcPr>
            <w:tcW w:w="1134"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0,04</w:t>
            </w:r>
          </w:p>
        </w:tc>
        <w:tc>
          <w:tcPr>
            <w:tcW w:w="1240"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0,04</w:t>
            </w:r>
          </w:p>
        </w:tc>
        <w:tc>
          <w:tcPr>
            <w:tcW w:w="1417"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r w:rsidRPr="00466E53">
              <w:rPr>
                <w:rFonts w:ascii="Times New Roman" w:eastAsia="Times New Roman" w:hAnsi="Times New Roman" w:cs="Times New Roman"/>
                <w:b/>
                <w:kern w:val="1"/>
                <w:sz w:val="18"/>
                <w:szCs w:val="18"/>
                <w:lang w:eastAsia="ru-RU" w:bidi="hi-IN"/>
              </w:rPr>
              <w:t>0,2</w:t>
            </w:r>
          </w:p>
        </w:tc>
        <w:tc>
          <w:tcPr>
            <w:tcW w:w="1453" w:type="dxa"/>
          </w:tcPr>
          <w:p w:rsidR="00A14F2C" w:rsidRPr="00466E53" w:rsidRDefault="00A14F2C" w:rsidP="00A14F2C">
            <w:pPr>
              <w:keepNext/>
              <w:widowControl w:val="0"/>
              <w:autoSpaceDN w:val="0"/>
              <w:adjustRightInd w:val="0"/>
              <w:spacing w:after="0" w:line="240" w:lineRule="auto"/>
              <w:jc w:val="center"/>
              <w:rPr>
                <w:rFonts w:ascii="Times New Roman" w:eastAsia="Times New Roman" w:hAnsi="Times New Roman" w:cs="Times New Roman"/>
                <w:b/>
                <w:kern w:val="1"/>
                <w:sz w:val="18"/>
                <w:szCs w:val="18"/>
                <w:lang w:eastAsia="ru-RU" w:bidi="hi-IN"/>
              </w:rPr>
            </w:pPr>
          </w:p>
        </w:tc>
      </w:tr>
    </w:tbl>
    <w:p w:rsidR="00A14F2C" w:rsidRPr="00AE11B4" w:rsidRDefault="003960DD" w:rsidP="003960DD">
      <w:pPr>
        <w:pStyle w:val="ConsPlusNormal"/>
        <w:ind w:left="720"/>
        <w:contextualSpacing/>
        <w:outlineLvl w:val="2"/>
        <w:rPr>
          <w:rFonts w:ascii="Times New Roman" w:hAnsi="Times New Roman" w:cs="Times New Roman"/>
          <w:color w:val="000000" w:themeColor="text1"/>
          <w:sz w:val="18"/>
          <w:szCs w:val="18"/>
        </w:rPr>
      </w:pPr>
      <w:r w:rsidRPr="00AE11B4">
        <w:rPr>
          <w:rFonts w:ascii="Times New Roman" w:hAnsi="Times New Roman" w:cs="Times New Roman"/>
          <w:color w:val="000000" w:themeColor="text1"/>
          <w:sz w:val="18"/>
          <w:szCs w:val="18"/>
        </w:rPr>
        <w:t>*</w:t>
      </w:r>
      <w:r w:rsidR="00AE11B4">
        <w:rPr>
          <w:rFonts w:ascii="Times New Roman" w:hAnsi="Times New Roman" w:cs="Times New Roman"/>
          <w:color w:val="000000" w:themeColor="text1"/>
          <w:sz w:val="18"/>
          <w:szCs w:val="18"/>
        </w:rPr>
        <w:t xml:space="preserve"> </w:t>
      </w:r>
      <w:r w:rsidRPr="00AE11B4">
        <w:rPr>
          <w:rFonts w:ascii="Times New Roman" w:hAnsi="Times New Roman" w:cs="Times New Roman"/>
          <w:color w:val="000000" w:themeColor="text1"/>
          <w:sz w:val="18"/>
          <w:szCs w:val="18"/>
        </w:rPr>
        <w:t>за исключением сумм</w:t>
      </w:r>
      <w:r w:rsidR="00AE11B4" w:rsidRPr="00AE11B4">
        <w:rPr>
          <w:rFonts w:ascii="Times New Roman" w:hAnsi="Times New Roman" w:cs="Times New Roman"/>
          <w:color w:val="000000" w:themeColor="text1"/>
          <w:sz w:val="18"/>
          <w:szCs w:val="18"/>
        </w:rPr>
        <w:t>ы</w:t>
      </w:r>
      <w:r w:rsidRPr="00AE11B4">
        <w:rPr>
          <w:rFonts w:ascii="Times New Roman" w:hAnsi="Times New Roman" w:cs="Times New Roman"/>
          <w:color w:val="000000" w:themeColor="text1"/>
          <w:sz w:val="18"/>
          <w:szCs w:val="18"/>
        </w:rPr>
        <w:t xml:space="preserve"> </w:t>
      </w:r>
      <w:r w:rsidR="00AE11B4" w:rsidRPr="00AE11B4">
        <w:rPr>
          <w:rFonts w:ascii="Times New Roman" w:hAnsi="Times New Roman" w:cs="Times New Roman"/>
          <w:color w:val="000000" w:themeColor="text1"/>
          <w:sz w:val="18"/>
          <w:szCs w:val="18"/>
        </w:rPr>
        <w:t>оценки</w:t>
      </w:r>
      <w:r w:rsidR="00AE11B4" w:rsidRPr="00AE11B4">
        <w:rPr>
          <w:rFonts w:ascii="Times New Roman" w:hAnsi="Times New Roman" w:cs="Times New Roman"/>
          <w:color w:val="000000" w:themeColor="text1"/>
          <w:sz w:val="18"/>
          <w:szCs w:val="18"/>
        </w:rPr>
        <w:t xml:space="preserve"> </w:t>
      </w:r>
      <w:r w:rsidRPr="00AE11B4">
        <w:rPr>
          <w:rFonts w:ascii="Times New Roman" w:hAnsi="Times New Roman" w:cs="Times New Roman"/>
          <w:color w:val="000000" w:themeColor="text1"/>
          <w:sz w:val="18"/>
          <w:szCs w:val="18"/>
        </w:rPr>
        <w:t xml:space="preserve">замены дотации на выравнивание бюджетной обеспеченности муниципальных районов </w:t>
      </w:r>
      <w:r w:rsidR="00AE11B4" w:rsidRPr="00AE11B4">
        <w:rPr>
          <w:rFonts w:ascii="Times New Roman" w:hAnsi="Times New Roman" w:cs="Times New Roman"/>
          <w:color w:val="000000" w:themeColor="text1"/>
          <w:sz w:val="18"/>
          <w:szCs w:val="18"/>
        </w:rPr>
        <w:t>(</w:t>
      </w:r>
      <w:r w:rsidRPr="00AE11B4">
        <w:rPr>
          <w:rFonts w:ascii="Times New Roman" w:hAnsi="Times New Roman" w:cs="Times New Roman"/>
          <w:color w:val="000000" w:themeColor="text1"/>
          <w:sz w:val="18"/>
          <w:szCs w:val="18"/>
        </w:rPr>
        <w:t>городских округов</w:t>
      </w:r>
      <w:r w:rsidR="00AE11B4" w:rsidRPr="00AE11B4">
        <w:rPr>
          <w:rFonts w:ascii="Times New Roman" w:hAnsi="Times New Roman" w:cs="Times New Roman"/>
          <w:color w:val="000000" w:themeColor="text1"/>
          <w:sz w:val="18"/>
          <w:szCs w:val="18"/>
        </w:rPr>
        <w:t xml:space="preserve">) </w:t>
      </w:r>
      <w:r w:rsidRPr="00AE11B4">
        <w:rPr>
          <w:rFonts w:ascii="Times New Roman" w:hAnsi="Times New Roman" w:cs="Times New Roman"/>
          <w:color w:val="000000" w:themeColor="text1"/>
          <w:sz w:val="18"/>
          <w:szCs w:val="18"/>
        </w:rPr>
        <w:t xml:space="preserve">дифференцированным нормативом отчислений от налога на доходы физических лиц </w:t>
      </w:r>
    </w:p>
    <w:sectPr w:rsidR="00A14F2C" w:rsidRPr="00AE11B4" w:rsidSect="00FD1C58">
      <w:pgSz w:w="16838" w:h="11906" w:orient="landscape"/>
      <w:pgMar w:top="1361" w:right="851" w:bottom="397" w:left="851" w:header="709" w:footer="709" w:gutter="0"/>
      <w:pgNumType w:start="286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4CC" w:rsidRDefault="008444CC" w:rsidP="00D863D1">
      <w:pPr>
        <w:spacing w:after="0" w:line="240" w:lineRule="auto"/>
      </w:pPr>
      <w:r>
        <w:separator/>
      </w:r>
    </w:p>
  </w:endnote>
  <w:endnote w:type="continuationSeparator" w:id="0">
    <w:p w:rsidR="008444CC" w:rsidRDefault="008444CC" w:rsidP="00D86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4CC" w:rsidRDefault="008444CC" w:rsidP="00D863D1">
      <w:pPr>
        <w:spacing w:after="0" w:line="240" w:lineRule="auto"/>
      </w:pPr>
      <w:r>
        <w:separator/>
      </w:r>
    </w:p>
  </w:footnote>
  <w:footnote w:type="continuationSeparator" w:id="0">
    <w:p w:rsidR="008444CC" w:rsidRDefault="008444CC" w:rsidP="00D863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3594269"/>
      <w:docPartObj>
        <w:docPartGallery w:val="Page Numbers (Top of Page)"/>
        <w:docPartUnique/>
      </w:docPartObj>
    </w:sdtPr>
    <w:sdtEndPr>
      <w:rPr>
        <w:rFonts w:ascii="Times New Roman" w:hAnsi="Times New Roman" w:cs="Times New Roman"/>
        <w:sz w:val="24"/>
        <w:szCs w:val="24"/>
      </w:rPr>
    </w:sdtEndPr>
    <w:sdtContent>
      <w:p w:rsidR="008444CC" w:rsidRPr="00D863D1" w:rsidRDefault="008444CC">
        <w:pPr>
          <w:pStyle w:val="a3"/>
          <w:jc w:val="right"/>
          <w:rPr>
            <w:rFonts w:ascii="Times New Roman" w:hAnsi="Times New Roman" w:cs="Times New Roman"/>
            <w:sz w:val="24"/>
            <w:szCs w:val="24"/>
          </w:rPr>
        </w:pPr>
        <w:r w:rsidRPr="00D863D1">
          <w:rPr>
            <w:rFonts w:ascii="Times New Roman" w:hAnsi="Times New Roman" w:cs="Times New Roman"/>
            <w:sz w:val="24"/>
            <w:szCs w:val="24"/>
          </w:rPr>
          <w:fldChar w:fldCharType="begin"/>
        </w:r>
        <w:r w:rsidRPr="00D863D1">
          <w:rPr>
            <w:rFonts w:ascii="Times New Roman" w:hAnsi="Times New Roman" w:cs="Times New Roman"/>
            <w:sz w:val="24"/>
            <w:szCs w:val="24"/>
          </w:rPr>
          <w:instrText>PAGE   \* MERGEFORMAT</w:instrText>
        </w:r>
        <w:r w:rsidRPr="00D863D1">
          <w:rPr>
            <w:rFonts w:ascii="Times New Roman" w:hAnsi="Times New Roman" w:cs="Times New Roman"/>
            <w:sz w:val="24"/>
            <w:szCs w:val="24"/>
          </w:rPr>
          <w:fldChar w:fldCharType="separate"/>
        </w:r>
        <w:r w:rsidR="00466E53">
          <w:rPr>
            <w:rFonts w:ascii="Times New Roman" w:hAnsi="Times New Roman" w:cs="Times New Roman"/>
            <w:noProof/>
            <w:sz w:val="24"/>
            <w:szCs w:val="24"/>
          </w:rPr>
          <w:t>2860</w:t>
        </w:r>
        <w:r w:rsidRPr="00D863D1">
          <w:rPr>
            <w:rFonts w:ascii="Times New Roman" w:hAnsi="Times New Roman" w:cs="Times New Roman"/>
            <w:sz w:val="24"/>
            <w:szCs w:val="24"/>
          </w:rPr>
          <w:fldChar w:fldCharType="end"/>
        </w:r>
      </w:p>
    </w:sdtContent>
  </w:sdt>
  <w:p w:rsidR="008444CC" w:rsidRDefault="008444C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C645B"/>
    <w:multiLevelType w:val="hybridMultilevel"/>
    <w:tmpl w:val="CA72050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9503DF3"/>
    <w:multiLevelType w:val="hybridMultilevel"/>
    <w:tmpl w:val="EB469C86"/>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DF5"/>
    <w:rsid w:val="00000F3E"/>
    <w:rsid w:val="0001263D"/>
    <w:rsid w:val="00012A70"/>
    <w:rsid w:val="000206F7"/>
    <w:rsid w:val="0002557D"/>
    <w:rsid w:val="00037CC3"/>
    <w:rsid w:val="00051934"/>
    <w:rsid w:val="0005650F"/>
    <w:rsid w:val="0006474C"/>
    <w:rsid w:val="00073D81"/>
    <w:rsid w:val="00096923"/>
    <w:rsid w:val="000C55FD"/>
    <w:rsid w:val="000D2C8E"/>
    <w:rsid w:val="000D41C4"/>
    <w:rsid w:val="000E0772"/>
    <w:rsid w:val="000F31DC"/>
    <w:rsid w:val="000F33B9"/>
    <w:rsid w:val="000F5742"/>
    <w:rsid w:val="000F6E46"/>
    <w:rsid w:val="001102C6"/>
    <w:rsid w:val="00113FE1"/>
    <w:rsid w:val="00120D41"/>
    <w:rsid w:val="00123845"/>
    <w:rsid w:val="00125413"/>
    <w:rsid w:val="0012596F"/>
    <w:rsid w:val="00126752"/>
    <w:rsid w:val="00140EB1"/>
    <w:rsid w:val="00146E81"/>
    <w:rsid w:val="0015343B"/>
    <w:rsid w:val="001802B8"/>
    <w:rsid w:val="001834AA"/>
    <w:rsid w:val="001907CF"/>
    <w:rsid w:val="00193723"/>
    <w:rsid w:val="00195831"/>
    <w:rsid w:val="001A1CF5"/>
    <w:rsid w:val="001A3468"/>
    <w:rsid w:val="001A5D00"/>
    <w:rsid w:val="001A718E"/>
    <w:rsid w:val="001B7C30"/>
    <w:rsid w:val="001C5CE4"/>
    <w:rsid w:val="001E105B"/>
    <w:rsid w:val="002062EE"/>
    <w:rsid w:val="00206B71"/>
    <w:rsid w:val="00213F75"/>
    <w:rsid w:val="00216B55"/>
    <w:rsid w:val="002217AA"/>
    <w:rsid w:val="00232857"/>
    <w:rsid w:val="002475F8"/>
    <w:rsid w:val="00253396"/>
    <w:rsid w:val="00263D2F"/>
    <w:rsid w:val="00270926"/>
    <w:rsid w:val="00271FC7"/>
    <w:rsid w:val="00276D0E"/>
    <w:rsid w:val="002773A0"/>
    <w:rsid w:val="00285BD2"/>
    <w:rsid w:val="002A394A"/>
    <w:rsid w:val="002A48C9"/>
    <w:rsid w:val="002B1054"/>
    <w:rsid w:val="002C503A"/>
    <w:rsid w:val="002D2177"/>
    <w:rsid w:val="002E0C76"/>
    <w:rsid w:val="002E772D"/>
    <w:rsid w:val="002E77EE"/>
    <w:rsid w:val="002F0330"/>
    <w:rsid w:val="002F2DCD"/>
    <w:rsid w:val="003048F3"/>
    <w:rsid w:val="003147BA"/>
    <w:rsid w:val="00317F49"/>
    <w:rsid w:val="003205B1"/>
    <w:rsid w:val="00332E6F"/>
    <w:rsid w:val="00336898"/>
    <w:rsid w:val="00345498"/>
    <w:rsid w:val="00345EC6"/>
    <w:rsid w:val="0035044F"/>
    <w:rsid w:val="00356B08"/>
    <w:rsid w:val="00361927"/>
    <w:rsid w:val="003873C7"/>
    <w:rsid w:val="003960DD"/>
    <w:rsid w:val="003A537A"/>
    <w:rsid w:val="003B4BBE"/>
    <w:rsid w:val="003B7947"/>
    <w:rsid w:val="003C0CFE"/>
    <w:rsid w:val="003D10A0"/>
    <w:rsid w:val="003D2A40"/>
    <w:rsid w:val="003D3938"/>
    <w:rsid w:val="00400833"/>
    <w:rsid w:val="004178FE"/>
    <w:rsid w:val="0042427F"/>
    <w:rsid w:val="00426891"/>
    <w:rsid w:val="00431C9C"/>
    <w:rsid w:val="004327BF"/>
    <w:rsid w:val="00466E53"/>
    <w:rsid w:val="0047199D"/>
    <w:rsid w:val="00472D6A"/>
    <w:rsid w:val="0047331C"/>
    <w:rsid w:val="00485617"/>
    <w:rsid w:val="004858DF"/>
    <w:rsid w:val="00485D2B"/>
    <w:rsid w:val="00491E3C"/>
    <w:rsid w:val="00496E96"/>
    <w:rsid w:val="004A4446"/>
    <w:rsid w:val="004A56C8"/>
    <w:rsid w:val="004B20D3"/>
    <w:rsid w:val="004C18A6"/>
    <w:rsid w:val="004C1B33"/>
    <w:rsid w:val="004C1FDA"/>
    <w:rsid w:val="004E01F2"/>
    <w:rsid w:val="004E6BBE"/>
    <w:rsid w:val="004F5A5E"/>
    <w:rsid w:val="00506288"/>
    <w:rsid w:val="005105CD"/>
    <w:rsid w:val="005106F4"/>
    <w:rsid w:val="005167B1"/>
    <w:rsid w:val="005344BB"/>
    <w:rsid w:val="00544A37"/>
    <w:rsid w:val="00554029"/>
    <w:rsid w:val="005574D7"/>
    <w:rsid w:val="00560FB0"/>
    <w:rsid w:val="00575BA7"/>
    <w:rsid w:val="00581136"/>
    <w:rsid w:val="005816D9"/>
    <w:rsid w:val="00581EE1"/>
    <w:rsid w:val="00583B13"/>
    <w:rsid w:val="00585909"/>
    <w:rsid w:val="00587AD4"/>
    <w:rsid w:val="00592C5D"/>
    <w:rsid w:val="00593504"/>
    <w:rsid w:val="005A08EA"/>
    <w:rsid w:val="005B61A4"/>
    <w:rsid w:val="005D2156"/>
    <w:rsid w:val="005D2DA9"/>
    <w:rsid w:val="005D49EF"/>
    <w:rsid w:val="005E31C1"/>
    <w:rsid w:val="005E40AF"/>
    <w:rsid w:val="005E4713"/>
    <w:rsid w:val="005F7470"/>
    <w:rsid w:val="005F7E21"/>
    <w:rsid w:val="00600BC4"/>
    <w:rsid w:val="00600E86"/>
    <w:rsid w:val="0061152C"/>
    <w:rsid w:val="00614433"/>
    <w:rsid w:val="00615FB1"/>
    <w:rsid w:val="00616005"/>
    <w:rsid w:val="006216A7"/>
    <w:rsid w:val="00621AA7"/>
    <w:rsid w:val="00621B29"/>
    <w:rsid w:val="00622DA2"/>
    <w:rsid w:val="00624C62"/>
    <w:rsid w:val="006252AF"/>
    <w:rsid w:val="00631A66"/>
    <w:rsid w:val="006528CB"/>
    <w:rsid w:val="00655C8F"/>
    <w:rsid w:val="00664891"/>
    <w:rsid w:val="006705B0"/>
    <w:rsid w:val="006851B1"/>
    <w:rsid w:val="006B15FF"/>
    <w:rsid w:val="006B3376"/>
    <w:rsid w:val="006B41DE"/>
    <w:rsid w:val="006C0F50"/>
    <w:rsid w:val="006C2C46"/>
    <w:rsid w:val="006D7855"/>
    <w:rsid w:val="006E6ED0"/>
    <w:rsid w:val="006F4AA6"/>
    <w:rsid w:val="006F65C2"/>
    <w:rsid w:val="00701BB9"/>
    <w:rsid w:val="0070367D"/>
    <w:rsid w:val="00703E97"/>
    <w:rsid w:val="00710263"/>
    <w:rsid w:val="00722463"/>
    <w:rsid w:val="00730A0D"/>
    <w:rsid w:val="0074509D"/>
    <w:rsid w:val="007515C3"/>
    <w:rsid w:val="00756792"/>
    <w:rsid w:val="0076697D"/>
    <w:rsid w:val="00766B9E"/>
    <w:rsid w:val="00772ED7"/>
    <w:rsid w:val="00791955"/>
    <w:rsid w:val="007A696D"/>
    <w:rsid w:val="007B2EE6"/>
    <w:rsid w:val="007C089D"/>
    <w:rsid w:val="007C5E1D"/>
    <w:rsid w:val="007C666F"/>
    <w:rsid w:val="007D6F43"/>
    <w:rsid w:val="007F0DF5"/>
    <w:rsid w:val="007F3658"/>
    <w:rsid w:val="007F5706"/>
    <w:rsid w:val="007F76A5"/>
    <w:rsid w:val="007F7DBC"/>
    <w:rsid w:val="00805838"/>
    <w:rsid w:val="00805843"/>
    <w:rsid w:val="00816BB0"/>
    <w:rsid w:val="00823E2C"/>
    <w:rsid w:val="00825413"/>
    <w:rsid w:val="00830174"/>
    <w:rsid w:val="00833A22"/>
    <w:rsid w:val="008363FD"/>
    <w:rsid w:val="0083744B"/>
    <w:rsid w:val="008444CC"/>
    <w:rsid w:val="00863686"/>
    <w:rsid w:val="00866485"/>
    <w:rsid w:val="00866747"/>
    <w:rsid w:val="00874B1C"/>
    <w:rsid w:val="00876E30"/>
    <w:rsid w:val="0088645B"/>
    <w:rsid w:val="008906C5"/>
    <w:rsid w:val="008947EE"/>
    <w:rsid w:val="008A1ABD"/>
    <w:rsid w:val="008A6AC7"/>
    <w:rsid w:val="008D0C82"/>
    <w:rsid w:val="008D1132"/>
    <w:rsid w:val="008D394A"/>
    <w:rsid w:val="008D4467"/>
    <w:rsid w:val="008D7711"/>
    <w:rsid w:val="008D772B"/>
    <w:rsid w:val="008E27F1"/>
    <w:rsid w:val="008E7940"/>
    <w:rsid w:val="008E7A31"/>
    <w:rsid w:val="008F5E30"/>
    <w:rsid w:val="00907A5D"/>
    <w:rsid w:val="0091044C"/>
    <w:rsid w:val="00915B5E"/>
    <w:rsid w:val="00915C24"/>
    <w:rsid w:val="00922BA9"/>
    <w:rsid w:val="0092508C"/>
    <w:rsid w:val="0092796C"/>
    <w:rsid w:val="00932A4C"/>
    <w:rsid w:val="0094761F"/>
    <w:rsid w:val="009501E3"/>
    <w:rsid w:val="00950256"/>
    <w:rsid w:val="00950EAA"/>
    <w:rsid w:val="009525F0"/>
    <w:rsid w:val="00952D06"/>
    <w:rsid w:val="00954CCD"/>
    <w:rsid w:val="00963428"/>
    <w:rsid w:val="00982CF3"/>
    <w:rsid w:val="00987970"/>
    <w:rsid w:val="009932A8"/>
    <w:rsid w:val="009955C5"/>
    <w:rsid w:val="009956F2"/>
    <w:rsid w:val="00996966"/>
    <w:rsid w:val="00997104"/>
    <w:rsid w:val="00997805"/>
    <w:rsid w:val="009A0813"/>
    <w:rsid w:val="009B2ED3"/>
    <w:rsid w:val="009C00EA"/>
    <w:rsid w:val="009C5772"/>
    <w:rsid w:val="009D1834"/>
    <w:rsid w:val="009D4CA7"/>
    <w:rsid w:val="009D5220"/>
    <w:rsid w:val="009E386E"/>
    <w:rsid w:val="00A053FD"/>
    <w:rsid w:val="00A07BEC"/>
    <w:rsid w:val="00A10F25"/>
    <w:rsid w:val="00A14F2C"/>
    <w:rsid w:val="00A3181A"/>
    <w:rsid w:val="00A34503"/>
    <w:rsid w:val="00A3581E"/>
    <w:rsid w:val="00A4113F"/>
    <w:rsid w:val="00A50563"/>
    <w:rsid w:val="00A56FBD"/>
    <w:rsid w:val="00A6249C"/>
    <w:rsid w:val="00A63B1B"/>
    <w:rsid w:val="00A650DE"/>
    <w:rsid w:val="00A65D80"/>
    <w:rsid w:val="00A83E9F"/>
    <w:rsid w:val="00A95478"/>
    <w:rsid w:val="00A97D42"/>
    <w:rsid w:val="00AA1F93"/>
    <w:rsid w:val="00AB1CD4"/>
    <w:rsid w:val="00AB3E25"/>
    <w:rsid w:val="00AC1921"/>
    <w:rsid w:val="00AC5302"/>
    <w:rsid w:val="00AD0278"/>
    <w:rsid w:val="00AD2127"/>
    <w:rsid w:val="00AD4F0D"/>
    <w:rsid w:val="00AE0A9E"/>
    <w:rsid w:val="00AE11B4"/>
    <w:rsid w:val="00AE4445"/>
    <w:rsid w:val="00AE697E"/>
    <w:rsid w:val="00AE7F17"/>
    <w:rsid w:val="00B13145"/>
    <w:rsid w:val="00B2275C"/>
    <w:rsid w:val="00B348A1"/>
    <w:rsid w:val="00B352C2"/>
    <w:rsid w:val="00B44D34"/>
    <w:rsid w:val="00B45B89"/>
    <w:rsid w:val="00B45C2D"/>
    <w:rsid w:val="00B53949"/>
    <w:rsid w:val="00B608E2"/>
    <w:rsid w:val="00B674A2"/>
    <w:rsid w:val="00BA2D35"/>
    <w:rsid w:val="00BB261E"/>
    <w:rsid w:val="00BB2F07"/>
    <w:rsid w:val="00BC6B54"/>
    <w:rsid w:val="00BD6063"/>
    <w:rsid w:val="00BE4EFA"/>
    <w:rsid w:val="00BE572C"/>
    <w:rsid w:val="00BE5E27"/>
    <w:rsid w:val="00BF0F95"/>
    <w:rsid w:val="00BF45D9"/>
    <w:rsid w:val="00C172F4"/>
    <w:rsid w:val="00C25976"/>
    <w:rsid w:val="00C30574"/>
    <w:rsid w:val="00C317AA"/>
    <w:rsid w:val="00C40575"/>
    <w:rsid w:val="00C44F4A"/>
    <w:rsid w:val="00C55F89"/>
    <w:rsid w:val="00C64E1D"/>
    <w:rsid w:val="00C74DC3"/>
    <w:rsid w:val="00C811BA"/>
    <w:rsid w:val="00C82420"/>
    <w:rsid w:val="00C856F8"/>
    <w:rsid w:val="00C917DB"/>
    <w:rsid w:val="00C92EDC"/>
    <w:rsid w:val="00C979E3"/>
    <w:rsid w:val="00CB4603"/>
    <w:rsid w:val="00CC2C94"/>
    <w:rsid w:val="00CD016F"/>
    <w:rsid w:val="00CD480A"/>
    <w:rsid w:val="00CE50DD"/>
    <w:rsid w:val="00CF179F"/>
    <w:rsid w:val="00D03121"/>
    <w:rsid w:val="00D05390"/>
    <w:rsid w:val="00D077E1"/>
    <w:rsid w:val="00D1227B"/>
    <w:rsid w:val="00D17C60"/>
    <w:rsid w:val="00D201CD"/>
    <w:rsid w:val="00D27C5C"/>
    <w:rsid w:val="00D33B1A"/>
    <w:rsid w:val="00D3579A"/>
    <w:rsid w:val="00D41826"/>
    <w:rsid w:val="00D5201A"/>
    <w:rsid w:val="00D6419A"/>
    <w:rsid w:val="00D732DF"/>
    <w:rsid w:val="00D7490A"/>
    <w:rsid w:val="00D863D1"/>
    <w:rsid w:val="00D870CB"/>
    <w:rsid w:val="00D95CC8"/>
    <w:rsid w:val="00D95EF5"/>
    <w:rsid w:val="00D972CE"/>
    <w:rsid w:val="00D97A78"/>
    <w:rsid w:val="00DA29A7"/>
    <w:rsid w:val="00DA56F2"/>
    <w:rsid w:val="00DB06B8"/>
    <w:rsid w:val="00DB50D2"/>
    <w:rsid w:val="00DC2C48"/>
    <w:rsid w:val="00DD0DE5"/>
    <w:rsid w:val="00DE38AD"/>
    <w:rsid w:val="00DE6269"/>
    <w:rsid w:val="00DF0D49"/>
    <w:rsid w:val="00DF7043"/>
    <w:rsid w:val="00DF7930"/>
    <w:rsid w:val="00E029A8"/>
    <w:rsid w:val="00E10F56"/>
    <w:rsid w:val="00E1152E"/>
    <w:rsid w:val="00E15405"/>
    <w:rsid w:val="00E25C67"/>
    <w:rsid w:val="00E270C4"/>
    <w:rsid w:val="00E30593"/>
    <w:rsid w:val="00E35780"/>
    <w:rsid w:val="00E47288"/>
    <w:rsid w:val="00E50469"/>
    <w:rsid w:val="00E65373"/>
    <w:rsid w:val="00E67EF8"/>
    <w:rsid w:val="00E70A99"/>
    <w:rsid w:val="00E74CCB"/>
    <w:rsid w:val="00E74ED0"/>
    <w:rsid w:val="00E7702D"/>
    <w:rsid w:val="00E80861"/>
    <w:rsid w:val="00E8396F"/>
    <w:rsid w:val="00E92321"/>
    <w:rsid w:val="00E93928"/>
    <w:rsid w:val="00EC2280"/>
    <w:rsid w:val="00EC7513"/>
    <w:rsid w:val="00ED5B0B"/>
    <w:rsid w:val="00EE283B"/>
    <w:rsid w:val="00EF23F5"/>
    <w:rsid w:val="00EF5261"/>
    <w:rsid w:val="00EF5610"/>
    <w:rsid w:val="00EF6A46"/>
    <w:rsid w:val="00F01013"/>
    <w:rsid w:val="00F14DAE"/>
    <w:rsid w:val="00F24F69"/>
    <w:rsid w:val="00F2504C"/>
    <w:rsid w:val="00F4135C"/>
    <w:rsid w:val="00F54898"/>
    <w:rsid w:val="00F56078"/>
    <w:rsid w:val="00F56187"/>
    <w:rsid w:val="00F56910"/>
    <w:rsid w:val="00F6128D"/>
    <w:rsid w:val="00F653D2"/>
    <w:rsid w:val="00F666A6"/>
    <w:rsid w:val="00F716D6"/>
    <w:rsid w:val="00F739B9"/>
    <w:rsid w:val="00F810F0"/>
    <w:rsid w:val="00F91044"/>
    <w:rsid w:val="00FA0417"/>
    <w:rsid w:val="00FA3324"/>
    <w:rsid w:val="00FA4F62"/>
    <w:rsid w:val="00FB3274"/>
    <w:rsid w:val="00FB4B04"/>
    <w:rsid w:val="00FB577D"/>
    <w:rsid w:val="00FB6F61"/>
    <w:rsid w:val="00FD1C58"/>
    <w:rsid w:val="00FD2C73"/>
    <w:rsid w:val="00FE35B5"/>
    <w:rsid w:val="00FF2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94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0DF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F0DF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F0DF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D863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863D1"/>
  </w:style>
  <w:style w:type="paragraph" w:styleId="a5">
    <w:name w:val="footer"/>
    <w:basedOn w:val="a"/>
    <w:link w:val="a6"/>
    <w:uiPriority w:val="99"/>
    <w:unhideWhenUsed/>
    <w:rsid w:val="00D863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863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94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0DF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F0DF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F0DF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D863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863D1"/>
  </w:style>
  <w:style w:type="paragraph" w:styleId="a5">
    <w:name w:val="footer"/>
    <w:basedOn w:val="a"/>
    <w:link w:val="a6"/>
    <w:uiPriority w:val="99"/>
    <w:unhideWhenUsed/>
    <w:rsid w:val="00D863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863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FE6E873F79346994FB60C0D51B620CA85FC57D1C80294799EDC0B3657F86683AD4FF88B86CFD03CB3560591088FE5A4F932A90B87362VBE" TargetMode="External"/><Relationship Id="rId13" Type="http://schemas.openxmlformats.org/officeDocument/2006/relationships/hyperlink" Target="consultantplus://offline/ref=1FFE6E873F79346994FB60C0D51B620CA957C07C1886294799EDC0B3657F866828D4A786B069E5099F7A260C1C68V1E" TargetMode="External"/><Relationship Id="rId18" Type="http://schemas.openxmlformats.org/officeDocument/2006/relationships/hyperlink" Target="consultantplus://offline/ref=1FFE6E873F79346994FB60C0D51B620CA85FC3741985294799EDC0B3657F866828D4A786B069E5099F7A260C1C68V1E" TargetMode="External"/><Relationship Id="rId3" Type="http://schemas.microsoft.com/office/2007/relationships/stylesWithEffects" Target="stylesWithEffects.xml"/><Relationship Id="rId21" Type="http://schemas.openxmlformats.org/officeDocument/2006/relationships/hyperlink" Target="consultantplus://offline/ref=1FFE6E873F79346994FB60C0D51B620CA85FC4771A86294799EDC0B3657F866828D4A786B069E5099F7A260C1C68V1E" TargetMode="External"/><Relationship Id="rId7" Type="http://schemas.openxmlformats.org/officeDocument/2006/relationships/endnotes" Target="endnotes.xml"/><Relationship Id="rId12" Type="http://schemas.openxmlformats.org/officeDocument/2006/relationships/hyperlink" Target="consultantplus://offline/ref=1FFE6E873F79346994FB7ECDC3773503AD559F781E812418CDBCC6E43A2F803D7A94F9DFE12AAE059F633A0D1D96FB444F69VAE" TargetMode="External"/><Relationship Id="rId17" Type="http://schemas.openxmlformats.org/officeDocument/2006/relationships/hyperlink" Target="consultantplus://offline/ref=1FFE6E873F79346994FB60C0D51B620CA85EC67D1882294799EDC0B3657F866828D4A786B069E5099F7A260C1C68V1E" TargetMode="External"/><Relationship Id="rId2" Type="http://schemas.openxmlformats.org/officeDocument/2006/relationships/styles" Target="styles.xml"/><Relationship Id="rId16" Type="http://schemas.openxmlformats.org/officeDocument/2006/relationships/hyperlink" Target="consultantplus://offline/ref=1FFE6E873F79346994FB60C0D51B620CA95FC7731D89294799EDC0B3657F86683AD4FF8AB06EFB09976F705D59DDF444498D3592A670226762V6E" TargetMode="External"/><Relationship Id="rId20" Type="http://schemas.openxmlformats.org/officeDocument/2006/relationships/hyperlink" Target="consultantplus://offline/ref=1FFE6E873F79346994FB7ECDC3773503AD559F781E872B12C7B1C6E43A2F803D7A94F9DFF32AF6099F64240D1E83AD150AC63992BF6C2366313F0E746DV7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1FFE6E873F79346994FB60C0D51B620CA956C6751C89294799EDC0B3657F866828D4A786B069E5099F7A260C1C68V1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1FFE6E873F79346994FB60C0D51B620CAA57C0731989294799EDC0B3657F86683AD4FF8AB06EFB099A6F705D59DDF444498D3592A670226762V6E" TargetMode="External"/><Relationship Id="rId23" Type="http://schemas.openxmlformats.org/officeDocument/2006/relationships/fontTable" Target="fontTable.xml"/><Relationship Id="rId10" Type="http://schemas.openxmlformats.org/officeDocument/2006/relationships/hyperlink" Target="consultantplus://offline/ref=1FFE6E873F79346994FB60C0D51B620CA85FC57D1C80294799EDC0B3657F86683AD4FF88B86CFD03CB3560591088FE5A4F932A90B87362VBE" TargetMode="External"/><Relationship Id="rId19" Type="http://schemas.openxmlformats.org/officeDocument/2006/relationships/hyperlink" Target="consultantplus://offline/ref=1FFE6E873F79346994FB7ECDC3773503AD559F781E852110C3B8C6E43A2F803D7A94F9DFF32AF6099F63240A1F83AD150AC63992BF6C2366313F0E746DV7E" TargetMode="External"/><Relationship Id="rId4" Type="http://schemas.openxmlformats.org/officeDocument/2006/relationships/settings" Target="settings.xml"/><Relationship Id="rId9" Type="http://schemas.openxmlformats.org/officeDocument/2006/relationships/hyperlink" Target="consultantplus://offline/ref=1FFE6E873F79346994FB7ECDC3773503AD559F781E812418CDBCC6E43A2F803D7A94F9DFE12AAE059F633A0D1D96FB444F69VAE" TargetMode="External"/><Relationship Id="rId14" Type="http://schemas.openxmlformats.org/officeDocument/2006/relationships/hyperlink" Target="consultantplus://offline/ref=1FFE6E873F79346994FB60C0D51B620CA85EC2751D80294799EDC0B3657F866828D4A786B069E5099F7A260C1C68V1E"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372</TotalTime>
  <Pages>12</Pages>
  <Words>5285</Words>
  <Characters>30130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Шубная  Юлия  Петровна</dc:creator>
  <cp:lastModifiedBy>Шубная  Юлия  Петровна</cp:lastModifiedBy>
  <cp:revision>11</cp:revision>
  <cp:lastPrinted>2019-10-28T12:54:00Z</cp:lastPrinted>
  <dcterms:created xsi:type="dcterms:W3CDTF">2019-10-07T04:21:00Z</dcterms:created>
  <dcterms:modified xsi:type="dcterms:W3CDTF">2019-10-28T12:54:00Z</dcterms:modified>
</cp:coreProperties>
</file>